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D0C" w:rsidRPr="00722C15" w:rsidRDefault="00517D0C" w:rsidP="00722C15">
      <w:pPr>
        <w:pStyle w:val="111"/>
        <w:spacing w:line="276" w:lineRule="auto"/>
        <w:ind w:firstLineChars="0" w:firstLine="0"/>
        <w:jc w:val="left"/>
        <w:rPr>
          <w:rFonts w:ascii="仿宋_GB2312" w:eastAsia="仿宋_GB2312" w:hAnsi="Times New Roman" w:cs="Times New Roman"/>
          <w:b/>
          <w:bCs/>
          <w:sz w:val="30"/>
          <w:szCs w:val="30"/>
        </w:rPr>
      </w:pPr>
      <w:r w:rsidRPr="00722C15">
        <w:rPr>
          <w:rFonts w:ascii="仿宋_GB2312" w:eastAsia="仿宋_GB2312" w:hAnsi="Times New Roman" w:cs="Times New Roman" w:hint="eastAsia"/>
          <w:b/>
          <w:bCs/>
          <w:sz w:val="30"/>
          <w:szCs w:val="30"/>
        </w:rPr>
        <w:t>附：项目汇总、海外来访机构及专家简介</w:t>
      </w:r>
    </w:p>
    <w:p w:rsidR="00517D0C" w:rsidRPr="00722C15" w:rsidRDefault="00517D0C" w:rsidP="00722C15">
      <w:pPr>
        <w:spacing w:line="276" w:lineRule="auto"/>
        <w:rPr>
          <w:rFonts w:ascii="仿宋_GB2312" w:eastAsia="仿宋_GB2312" w:hAnsi="仿宋" w:cs="仿宋"/>
          <w:sz w:val="30"/>
          <w:szCs w:val="30"/>
        </w:rPr>
      </w:pPr>
    </w:p>
    <w:p w:rsidR="009A78D3" w:rsidRPr="009A78D3" w:rsidRDefault="009A78D3" w:rsidP="009A78D3">
      <w:pPr>
        <w:spacing w:line="276" w:lineRule="auto"/>
        <w:rPr>
          <w:rFonts w:asciiTheme="minorEastAsia" w:hAnsiTheme="minorEastAsia"/>
          <w:sz w:val="30"/>
          <w:szCs w:val="30"/>
        </w:rPr>
      </w:pPr>
      <w:r w:rsidRPr="009A78D3">
        <w:rPr>
          <w:rFonts w:asciiTheme="minorEastAsia" w:hAnsiTheme="minorEastAsia" w:cs="Times New Roman" w:hint="eastAsia"/>
          <w:b/>
          <w:bCs/>
          <w:sz w:val="30"/>
          <w:szCs w:val="30"/>
        </w:rPr>
        <w:t>【项目汇总】</w:t>
      </w:r>
    </w:p>
    <w:p w:rsidR="00517D0C" w:rsidRPr="00F34358" w:rsidRDefault="00517D0C" w:rsidP="00722C15">
      <w:pPr>
        <w:spacing w:line="276" w:lineRule="auto"/>
        <w:rPr>
          <w:rFonts w:asciiTheme="minorEastAsia" w:hAnsiTheme="minorEastAsia" w:cs="仿宋"/>
          <w:sz w:val="24"/>
          <w:szCs w:val="24"/>
        </w:rPr>
      </w:pPr>
    </w:p>
    <w:tbl>
      <w:tblPr>
        <w:tblW w:w="5000" w:type="pct"/>
        <w:tblLook w:val="04A0" w:firstRow="1" w:lastRow="0" w:firstColumn="1" w:lastColumn="0" w:noHBand="0" w:noVBand="1"/>
      </w:tblPr>
      <w:tblGrid>
        <w:gridCol w:w="1334"/>
        <w:gridCol w:w="2473"/>
        <w:gridCol w:w="2165"/>
        <w:gridCol w:w="2550"/>
      </w:tblGrid>
      <w:tr w:rsidR="00F34358" w:rsidRPr="00F34358" w:rsidTr="006607BF">
        <w:trPr>
          <w:trHeight w:val="1155"/>
        </w:trPr>
        <w:tc>
          <w:tcPr>
            <w:tcW w:w="5000" w:type="pct"/>
            <w:gridSpan w:val="4"/>
            <w:tcBorders>
              <w:top w:val="nil"/>
              <w:left w:val="nil"/>
              <w:bottom w:val="nil"/>
              <w:right w:val="nil"/>
            </w:tcBorders>
            <w:shd w:val="clear" w:color="auto" w:fill="auto"/>
            <w:noWrap/>
            <w:vAlign w:val="center"/>
            <w:hideMark/>
          </w:tcPr>
          <w:p w:rsidR="00F34358" w:rsidRPr="00F34358" w:rsidRDefault="00517D0C" w:rsidP="00722C15">
            <w:pPr>
              <w:widowControl/>
              <w:spacing w:line="276" w:lineRule="auto"/>
              <w:jc w:val="center"/>
              <w:rPr>
                <w:rFonts w:asciiTheme="minorEastAsia" w:hAnsiTheme="minorEastAsia" w:cs="宋体"/>
                <w:b/>
                <w:color w:val="000000"/>
                <w:kern w:val="0"/>
                <w:sz w:val="30"/>
                <w:szCs w:val="30"/>
              </w:rPr>
            </w:pPr>
            <w:r w:rsidRPr="009A78D3">
              <w:rPr>
                <w:rFonts w:asciiTheme="minorEastAsia" w:hAnsiTheme="minorEastAsia" w:cs="宋体" w:hint="eastAsia"/>
                <w:b/>
                <w:color w:val="000000"/>
                <w:kern w:val="0"/>
                <w:sz w:val="30"/>
                <w:szCs w:val="30"/>
              </w:rPr>
              <w:t>海外项目</w:t>
            </w:r>
            <w:r w:rsidR="00F34358" w:rsidRPr="00F34358">
              <w:rPr>
                <w:rFonts w:asciiTheme="minorEastAsia" w:hAnsiTheme="minorEastAsia" w:cs="宋体" w:hint="eastAsia"/>
                <w:b/>
                <w:color w:val="000000"/>
                <w:kern w:val="0"/>
                <w:sz w:val="30"/>
                <w:szCs w:val="30"/>
              </w:rPr>
              <w:t>会报名回执</w:t>
            </w:r>
          </w:p>
        </w:tc>
      </w:tr>
      <w:tr w:rsidR="00F34358" w:rsidRPr="00F34358" w:rsidTr="006607BF">
        <w:trPr>
          <w:trHeight w:val="780"/>
        </w:trPr>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单位</w:t>
            </w:r>
          </w:p>
        </w:tc>
        <w:tc>
          <w:tcPr>
            <w:tcW w:w="4217" w:type="pct"/>
            <w:gridSpan w:val="3"/>
            <w:tcBorders>
              <w:top w:val="single" w:sz="4" w:space="0" w:color="auto"/>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r>
      <w:tr w:rsidR="00F34358" w:rsidRPr="00F34358" w:rsidTr="006607BF">
        <w:trPr>
          <w:trHeight w:val="78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序号</w:t>
            </w:r>
          </w:p>
        </w:tc>
        <w:tc>
          <w:tcPr>
            <w:tcW w:w="1451"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参会人姓名</w:t>
            </w:r>
          </w:p>
        </w:tc>
        <w:tc>
          <w:tcPr>
            <w:tcW w:w="1270"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职务</w:t>
            </w:r>
          </w:p>
        </w:tc>
        <w:tc>
          <w:tcPr>
            <w:tcW w:w="1496"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联系方式</w:t>
            </w:r>
          </w:p>
        </w:tc>
      </w:tr>
      <w:tr w:rsidR="00F34358" w:rsidRPr="00F34358" w:rsidTr="006607BF">
        <w:trPr>
          <w:trHeight w:val="78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1</w:t>
            </w:r>
          </w:p>
        </w:tc>
        <w:tc>
          <w:tcPr>
            <w:tcW w:w="1451"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c>
          <w:tcPr>
            <w:tcW w:w="1270"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c>
          <w:tcPr>
            <w:tcW w:w="1496"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r>
      <w:tr w:rsidR="00F34358" w:rsidRPr="00F34358" w:rsidTr="006607BF">
        <w:trPr>
          <w:trHeight w:val="78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2</w:t>
            </w:r>
          </w:p>
        </w:tc>
        <w:tc>
          <w:tcPr>
            <w:tcW w:w="1451"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c>
          <w:tcPr>
            <w:tcW w:w="1270"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c>
          <w:tcPr>
            <w:tcW w:w="1496"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r>
      <w:tr w:rsidR="00F34358" w:rsidRPr="00F34358" w:rsidTr="006607BF">
        <w:trPr>
          <w:trHeight w:val="78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center"/>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3</w:t>
            </w:r>
          </w:p>
        </w:tc>
        <w:tc>
          <w:tcPr>
            <w:tcW w:w="1451"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c>
          <w:tcPr>
            <w:tcW w:w="1270"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c>
          <w:tcPr>
            <w:tcW w:w="1496" w:type="pct"/>
            <w:tcBorders>
              <w:top w:val="nil"/>
              <w:left w:val="nil"/>
              <w:bottom w:val="single" w:sz="4" w:space="0" w:color="auto"/>
              <w:right w:val="single" w:sz="4" w:space="0" w:color="auto"/>
            </w:tcBorders>
            <w:shd w:val="clear" w:color="auto" w:fill="auto"/>
            <w:noWrap/>
            <w:vAlign w:val="center"/>
            <w:hideMark/>
          </w:tcPr>
          <w:p w:rsidR="00F34358" w:rsidRPr="00F34358" w:rsidRDefault="00F34358" w:rsidP="00722C15">
            <w:pPr>
              <w:widowControl/>
              <w:spacing w:line="276" w:lineRule="auto"/>
              <w:jc w:val="left"/>
              <w:rPr>
                <w:rFonts w:asciiTheme="minorEastAsia" w:hAnsiTheme="minorEastAsia" w:cs="宋体"/>
                <w:color w:val="000000"/>
                <w:kern w:val="0"/>
                <w:sz w:val="24"/>
                <w:szCs w:val="24"/>
              </w:rPr>
            </w:pPr>
            <w:r w:rsidRPr="00F34358">
              <w:rPr>
                <w:rFonts w:asciiTheme="minorEastAsia" w:hAnsiTheme="minorEastAsia" w:cs="宋体" w:hint="eastAsia"/>
                <w:color w:val="000000"/>
                <w:kern w:val="0"/>
                <w:sz w:val="24"/>
                <w:szCs w:val="24"/>
              </w:rPr>
              <w:t xml:space="preserve">　</w:t>
            </w:r>
          </w:p>
        </w:tc>
      </w:tr>
    </w:tbl>
    <w:p w:rsidR="003B6308" w:rsidRPr="009A78D3" w:rsidRDefault="003B6308" w:rsidP="00722C15">
      <w:pPr>
        <w:pStyle w:val="111"/>
        <w:spacing w:line="276" w:lineRule="auto"/>
        <w:ind w:firstLineChars="0" w:firstLine="0"/>
        <w:jc w:val="left"/>
        <w:rPr>
          <w:rFonts w:asciiTheme="minorEastAsia" w:hAnsiTheme="minorEastAsia" w:cs="Times New Roman"/>
          <w:b/>
          <w:bCs/>
          <w:sz w:val="24"/>
          <w:szCs w:val="24"/>
        </w:rPr>
      </w:pPr>
    </w:p>
    <w:p w:rsidR="003B6308" w:rsidRPr="009A78D3" w:rsidRDefault="003B6308" w:rsidP="00722C15">
      <w:pPr>
        <w:pStyle w:val="111"/>
        <w:spacing w:line="276" w:lineRule="auto"/>
        <w:ind w:firstLineChars="0" w:firstLine="0"/>
        <w:jc w:val="left"/>
        <w:rPr>
          <w:rFonts w:asciiTheme="minorEastAsia" w:hAnsiTheme="minorEastAsia" w:cs="Times New Roman"/>
          <w:b/>
          <w:bCs/>
          <w:sz w:val="24"/>
          <w:szCs w:val="24"/>
        </w:rPr>
      </w:pPr>
    </w:p>
    <w:p w:rsidR="00984698" w:rsidRPr="009A78D3" w:rsidRDefault="00984698" w:rsidP="00722C15">
      <w:pPr>
        <w:pStyle w:val="111"/>
        <w:spacing w:line="276" w:lineRule="auto"/>
        <w:ind w:firstLineChars="0" w:firstLine="0"/>
        <w:jc w:val="left"/>
        <w:rPr>
          <w:rFonts w:asciiTheme="minorEastAsia" w:hAnsiTheme="minorEastAsia" w:cs="Times New Roman"/>
          <w:b/>
          <w:bCs/>
          <w:sz w:val="24"/>
          <w:szCs w:val="24"/>
        </w:rPr>
      </w:pPr>
      <w:bookmarkStart w:id="0" w:name="_GoBack"/>
      <w:bookmarkEnd w:id="0"/>
    </w:p>
    <w:p w:rsidR="00984698" w:rsidRPr="009A78D3" w:rsidRDefault="00984698" w:rsidP="00722C15">
      <w:pPr>
        <w:pStyle w:val="111"/>
        <w:spacing w:line="276" w:lineRule="auto"/>
        <w:ind w:firstLineChars="0" w:firstLine="0"/>
        <w:jc w:val="left"/>
        <w:rPr>
          <w:rFonts w:asciiTheme="minorEastAsia" w:hAnsiTheme="minorEastAsia" w:cs="Times New Roman"/>
          <w:b/>
          <w:bCs/>
          <w:sz w:val="24"/>
          <w:szCs w:val="24"/>
        </w:rPr>
      </w:pPr>
    </w:p>
    <w:p w:rsidR="007538B2" w:rsidRPr="009A78D3" w:rsidRDefault="00851C20" w:rsidP="00722C15">
      <w:pPr>
        <w:spacing w:line="276" w:lineRule="auto"/>
        <w:rPr>
          <w:rFonts w:asciiTheme="minorEastAsia" w:hAnsiTheme="minorEastAsia"/>
          <w:sz w:val="24"/>
          <w:szCs w:val="24"/>
        </w:rPr>
      </w:pPr>
      <w:r w:rsidRPr="009A78D3">
        <w:rPr>
          <w:rFonts w:asciiTheme="minorEastAsia" w:hAnsiTheme="minorEastAsia" w:cs="Times New Roman" w:hint="eastAsia"/>
          <w:b/>
          <w:bCs/>
          <w:sz w:val="24"/>
          <w:szCs w:val="24"/>
        </w:rPr>
        <w:t>【项目汇总】</w:t>
      </w:r>
    </w:p>
    <w:p w:rsidR="007538B2" w:rsidRPr="009A78D3" w:rsidRDefault="00851C20" w:rsidP="00722C15">
      <w:pPr>
        <w:spacing w:line="276" w:lineRule="auto"/>
        <w:jc w:val="center"/>
        <w:rPr>
          <w:rFonts w:asciiTheme="minorEastAsia" w:hAnsiTheme="minorEastAsia"/>
          <w:b/>
          <w:sz w:val="30"/>
          <w:szCs w:val="30"/>
        </w:rPr>
      </w:pPr>
      <w:r w:rsidRPr="009A78D3">
        <w:rPr>
          <w:rFonts w:asciiTheme="minorEastAsia" w:hAnsiTheme="minorEastAsia" w:cs="Times New Roman" w:hint="eastAsia"/>
          <w:b/>
          <w:sz w:val="30"/>
          <w:szCs w:val="30"/>
        </w:rPr>
        <w:t>海外项目对接会项目介绍</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277"/>
        <w:gridCol w:w="4536"/>
        <w:gridCol w:w="1275"/>
        <w:gridCol w:w="1276"/>
        <w:gridCol w:w="1304"/>
      </w:tblGrid>
      <w:tr w:rsidR="007538B2" w:rsidRPr="009A78D3" w:rsidTr="007E53BB">
        <w:trPr>
          <w:jc w:val="center"/>
        </w:trPr>
        <w:tc>
          <w:tcPr>
            <w:tcW w:w="794" w:type="dxa"/>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序号</w:t>
            </w:r>
          </w:p>
        </w:tc>
        <w:tc>
          <w:tcPr>
            <w:tcW w:w="1277" w:type="dxa"/>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项目名称</w:t>
            </w:r>
          </w:p>
        </w:tc>
        <w:tc>
          <w:tcPr>
            <w:tcW w:w="4536" w:type="dxa"/>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项目简介</w:t>
            </w:r>
          </w:p>
        </w:tc>
        <w:tc>
          <w:tcPr>
            <w:tcW w:w="1275" w:type="dxa"/>
            <w:vAlign w:val="center"/>
          </w:tcPr>
          <w:p w:rsidR="0003351B"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项目</w:t>
            </w:r>
          </w:p>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代表方</w:t>
            </w:r>
          </w:p>
        </w:tc>
        <w:tc>
          <w:tcPr>
            <w:tcW w:w="1276" w:type="dxa"/>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技术领域</w:t>
            </w:r>
          </w:p>
        </w:tc>
        <w:tc>
          <w:tcPr>
            <w:tcW w:w="1304" w:type="dxa"/>
            <w:vAlign w:val="center"/>
          </w:tcPr>
          <w:p w:rsidR="007538B2" w:rsidRPr="009A78D3" w:rsidRDefault="00851C20" w:rsidP="00722C15">
            <w:pPr>
              <w:spacing w:line="276" w:lineRule="auto"/>
              <w:jc w:val="center"/>
              <w:rPr>
                <w:rFonts w:asciiTheme="minorEastAsia" w:hAnsiTheme="minorEastAsia"/>
                <w:b/>
                <w:bCs/>
                <w:color w:val="FF0000"/>
                <w:sz w:val="24"/>
                <w:szCs w:val="24"/>
              </w:rPr>
            </w:pPr>
            <w:r w:rsidRPr="009A78D3">
              <w:rPr>
                <w:rFonts w:asciiTheme="minorEastAsia" w:hAnsiTheme="minorEastAsia" w:hint="eastAsia"/>
                <w:b/>
                <w:bCs/>
                <w:color w:val="FF0000"/>
                <w:sz w:val="24"/>
                <w:szCs w:val="24"/>
              </w:rPr>
              <w:t>合作需求</w:t>
            </w:r>
          </w:p>
        </w:tc>
      </w:tr>
      <w:tr w:rsidR="007538B2" w:rsidRPr="009A78D3" w:rsidTr="007E53BB">
        <w:trPr>
          <w:trHeight w:val="665"/>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一种增强荧光强度和稳定性的新型合成绿色荧光蛋白</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该新型合成蛋白通过展示增加细胞的活力和稳定性，从而增加信号强度，实现了GFP进化的新阶段。由于其优化的编码序列显示了卓越的光谱强度，与增强型绿色荧光蛋白EGFP相比，该新型合成蛋白更优秀，更符合成本效益而替代EGFP。该新型合成蛋白的光谱特性，可以使用一个标准的FITC滤波器（488 nm）使其与荧光显</w:t>
            </w:r>
            <w:r w:rsidRPr="009A78D3">
              <w:rPr>
                <w:rFonts w:asciiTheme="minorEastAsia" w:hAnsiTheme="minorEastAsia" w:cs="宋体" w:hint="eastAsia"/>
                <w:sz w:val="24"/>
                <w:szCs w:val="24"/>
              </w:rPr>
              <w:lastRenderedPageBreak/>
              <w:t>微镜，流式细胞仪，微板阅读器兼容。</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对该新型合成蛋白的评估，与EGFP相比，表现出显著强度增加，相似的热稳定性特征和在NF-κB的刺激下呈现更好的折叠。该新型合成蛋白IL-1在早期（6小时）和后期（24–48小时）时间点。</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它也很可能使用在专利覆盖范围</w:t>
            </w:r>
            <w:proofErr w:type="gramStart"/>
            <w:r w:rsidRPr="009A78D3">
              <w:rPr>
                <w:rFonts w:asciiTheme="minorEastAsia" w:hAnsiTheme="minorEastAsia" w:cs="宋体" w:hint="eastAsia"/>
                <w:sz w:val="24"/>
                <w:szCs w:val="24"/>
              </w:rPr>
              <w:t>内相同</w:t>
            </w:r>
            <w:proofErr w:type="gramEnd"/>
            <w:r w:rsidRPr="009A78D3">
              <w:rPr>
                <w:rFonts w:asciiTheme="minorEastAsia" w:hAnsiTheme="minorEastAsia" w:cs="宋体" w:hint="eastAsia"/>
                <w:sz w:val="24"/>
                <w:szCs w:val="24"/>
              </w:rPr>
              <w:t>的一致序列，以增加强度和其他报告蛋白如黄色、青色、蓝色和红色荧光蛋白的稳定性。</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APIO</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生物医药</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寻求技术许可的合作</w:t>
            </w:r>
          </w:p>
        </w:tc>
      </w:tr>
      <w:tr w:rsidR="007538B2" w:rsidRPr="009A78D3" w:rsidTr="007E53BB">
        <w:trPr>
          <w:trHeight w:val="700"/>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2</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一种用于胰腺癌的早期诊断和治疗的由组织蛋白酶裂解的多肽纳米颗粒</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该技术描述了一种被组织蛋白酶E选择性裂解的多肽纳米。组织蛋白酶E是天冬氨酸蛋白酶家族的成员，并用于定位肿瘤。这个特点在其他的特性中使它适合用于把胰腺导管腺癌作为诊断与治疗（PDAC）的目标，并可能同样作用于其它癌症。组织蛋白酶E的表达被发现在胰腺癌组织和早期发育不良胰腺细胞呈高度正调节，而在正常的胰腺、血液和慢性胰腺炎病灶呈极低的正调节。 </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纳米颗粒是用来检测胰腺癌的存在，以及运送抗癌药物到肿瘤部位。被组织蛋白酶E裂解的纳米颗粒释放一种能够靶向肿瘤的荧光标记或治疗剂。 </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APIO</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生物医药</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寻求技术许可、合作研发的合作</w:t>
            </w:r>
          </w:p>
        </w:tc>
      </w:tr>
      <w:tr w:rsidR="007538B2" w:rsidRPr="009A78D3" w:rsidTr="007E53BB">
        <w:trPr>
          <w:trHeight w:val="840"/>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3</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癌症治疗</w:t>
            </w:r>
            <w:proofErr w:type="gramStart"/>
            <w:r w:rsidRPr="009A78D3">
              <w:rPr>
                <w:rFonts w:asciiTheme="minorEastAsia" w:hAnsiTheme="minorEastAsia" w:cs="宋体" w:hint="eastAsia"/>
                <w:sz w:val="24"/>
                <w:szCs w:val="24"/>
              </w:rPr>
              <w:t>肽</w:t>
            </w:r>
            <w:proofErr w:type="gramEnd"/>
            <w:r w:rsidRPr="009A78D3">
              <w:rPr>
                <w:rFonts w:asciiTheme="minorEastAsia" w:hAnsiTheme="minorEastAsia" w:cs="宋体" w:hint="eastAsia"/>
                <w:sz w:val="24"/>
                <w:szCs w:val="24"/>
              </w:rPr>
              <w:t>模拟</w:t>
            </w:r>
            <w:proofErr w:type="gramStart"/>
            <w:r w:rsidRPr="009A78D3">
              <w:rPr>
                <w:rFonts w:asciiTheme="minorEastAsia" w:hAnsiTheme="minorEastAsia" w:cs="宋体" w:hint="eastAsia"/>
                <w:sz w:val="24"/>
                <w:szCs w:val="24"/>
              </w:rPr>
              <w:t>物技术</w:t>
            </w:r>
            <w:proofErr w:type="gramEnd"/>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A公司拥有一个与凝集素受体结合的糖模拟肽（分子量在4500和6900之间）家族。其中，</w:t>
            </w:r>
            <w:proofErr w:type="gramStart"/>
            <w:r w:rsidRPr="009A78D3">
              <w:rPr>
                <w:rFonts w:asciiTheme="minorEastAsia" w:hAnsiTheme="minorEastAsia" w:cs="宋体" w:hint="eastAsia"/>
                <w:sz w:val="24"/>
                <w:szCs w:val="24"/>
              </w:rPr>
              <w:t>一种肽被确定</w:t>
            </w:r>
            <w:proofErr w:type="gramEnd"/>
            <w:r w:rsidRPr="009A78D3">
              <w:rPr>
                <w:rFonts w:asciiTheme="minorEastAsia" w:hAnsiTheme="minorEastAsia" w:cs="宋体" w:hint="eastAsia"/>
                <w:sz w:val="24"/>
                <w:szCs w:val="24"/>
              </w:rPr>
              <w:t>为一种模拟的半乳糖胺（</w:t>
            </w:r>
            <w:proofErr w:type="spellStart"/>
            <w:r w:rsidRPr="009A78D3">
              <w:rPr>
                <w:rFonts w:asciiTheme="minorEastAsia" w:hAnsiTheme="minorEastAsia" w:cs="宋体" w:hint="eastAsia"/>
                <w:sz w:val="24"/>
                <w:szCs w:val="24"/>
              </w:rPr>
              <w:t>GalNAc</w:t>
            </w:r>
            <w:proofErr w:type="spellEnd"/>
            <w:r w:rsidRPr="009A78D3">
              <w:rPr>
                <w:rFonts w:asciiTheme="minorEastAsia" w:hAnsiTheme="minorEastAsia" w:cs="宋体" w:hint="eastAsia"/>
                <w:sz w:val="24"/>
                <w:szCs w:val="24"/>
              </w:rPr>
              <w:t>）和半乳糖（Gal）,两者结合激活免疫细胞上的受体。更具体地说，它已被证明与特定于高功能亲和力的半乳糖/半乳糖胺的凝集素和特定于半乳糖胺的C-型凝集素结合，在巨噬细胞和未成熟的树突状细胞上得到体现。</w:t>
            </w:r>
          </w:p>
          <w:p w:rsidR="007538B2" w:rsidRPr="009A78D3" w:rsidRDefault="00851C20" w:rsidP="00722C15">
            <w:pPr>
              <w:spacing w:line="276" w:lineRule="auto"/>
              <w:jc w:val="left"/>
              <w:rPr>
                <w:rFonts w:asciiTheme="minorEastAsia" w:hAnsiTheme="minorEastAsia"/>
                <w:sz w:val="24"/>
                <w:szCs w:val="24"/>
              </w:rPr>
            </w:pPr>
            <w:r w:rsidRPr="009A78D3">
              <w:rPr>
                <w:rFonts w:asciiTheme="minorEastAsia" w:hAnsiTheme="minorEastAsia" w:cs="宋体" w:hint="eastAsia"/>
                <w:sz w:val="24"/>
                <w:szCs w:val="24"/>
              </w:rPr>
              <w:t xml:space="preserve">    初步的急性毒理学研究表明，该药物耐受性良好，在啮齿类动物和长期治疗的小鼠身上显示没有毒性。此外，长期耐受性在狗身上发现。这些结果表明，肽和较短子集的肽结合目前的标准的护理，对于</w:t>
            </w:r>
            <w:r w:rsidRPr="009A78D3">
              <w:rPr>
                <w:rFonts w:asciiTheme="minorEastAsia" w:hAnsiTheme="minorEastAsia" w:cs="宋体" w:hint="eastAsia"/>
                <w:sz w:val="24"/>
                <w:szCs w:val="24"/>
              </w:rPr>
              <w:lastRenderedPageBreak/>
              <w:t>对抗癌症的阿森纳可以是一个强大添加物。免疫细胞多种类型的强刺激表明</w:t>
            </w:r>
            <w:proofErr w:type="gramStart"/>
            <w:r w:rsidRPr="009A78D3">
              <w:rPr>
                <w:rFonts w:asciiTheme="minorEastAsia" w:hAnsiTheme="minorEastAsia" w:cs="宋体" w:hint="eastAsia"/>
                <w:sz w:val="24"/>
                <w:szCs w:val="24"/>
              </w:rPr>
              <w:t>肽</w:t>
            </w:r>
            <w:proofErr w:type="gramEnd"/>
            <w:r w:rsidRPr="009A78D3">
              <w:rPr>
                <w:rFonts w:asciiTheme="minorEastAsia" w:hAnsiTheme="minorEastAsia" w:cs="宋体" w:hint="eastAsia"/>
                <w:sz w:val="24"/>
                <w:szCs w:val="24"/>
              </w:rPr>
              <w:t>对于多种癌症和其他疾病是有效的免疫治疗药物。</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APIO</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生物医药</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寻求兼并及收购的合作</w:t>
            </w:r>
          </w:p>
        </w:tc>
      </w:tr>
      <w:tr w:rsidR="007538B2" w:rsidRPr="009A78D3" w:rsidTr="007E53BB">
        <w:trPr>
          <w:trHeight w:val="840"/>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4</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心脏标测和神经调节技术</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该公司将推出其神经调节的产品包括植入</w:t>
            </w:r>
            <w:proofErr w:type="gramStart"/>
            <w:r w:rsidRPr="009A78D3">
              <w:rPr>
                <w:rFonts w:asciiTheme="minorEastAsia" w:hAnsiTheme="minorEastAsia" w:cs="宋体" w:hint="eastAsia"/>
                <w:sz w:val="24"/>
                <w:szCs w:val="24"/>
              </w:rPr>
              <w:t>式刺激</w:t>
            </w:r>
            <w:proofErr w:type="gramEnd"/>
            <w:r w:rsidRPr="009A78D3">
              <w:rPr>
                <w:rFonts w:asciiTheme="minorEastAsia" w:hAnsiTheme="minorEastAsia" w:cs="宋体" w:hint="eastAsia"/>
                <w:sz w:val="24"/>
                <w:szCs w:val="24"/>
              </w:rPr>
              <w:t>接收器和植入式脉冲发生器（IPGs）。二期的额外开发和推出将把人工智能算法的临床决策支持这一行的产品。自上世纪60年代以来，神经调节一直是治疗方案的一部分，现在的医疗保健专业人士作为一种替代药物不可或缺的工具。</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APIO</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生物医药</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寻求产权投资</w:t>
            </w:r>
          </w:p>
        </w:tc>
      </w:tr>
      <w:tr w:rsidR="007538B2" w:rsidRPr="009A78D3" w:rsidTr="007E53BB">
        <w:trPr>
          <w:trHeight w:val="840"/>
          <w:jc w:val="center"/>
        </w:trPr>
        <w:tc>
          <w:tcPr>
            <w:tcW w:w="794" w:type="dxa"/>
            <w:vAlign w:val="center"/>
          </w:tcPr>
          <w:p w:rsidR="007538B2"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5</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一种容易定位动脉静脉移植的装置</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该技术是一个容易定位常用于血液透析和其他血管移植的动脉静脉移植的器材。该装置的设计更便利地定位移植物的植入和</w:t>
            </w:r>
            <w:proofErr w:type="gramStart"/>
            <w:r w:rsidRPr="009A78D3">
              <w:rPr>
                <w:rFonts w:asciiTheme="minorEastAsia" w:hAnsiTheme="minorEastAsia" w:cs="宋体" w:hint="eastAsia"/>
                <w:sz w:val="24"/>
                <w:szCs w:val="24"/>
              </w:rPr>
              <w:t>或</w:t>
            </w:r>
            <w:proofErr w:type="gramEnd"/>
            <w:r w:rsidRPr="009A78D3">
              <w:rPr>
                <w:rFonts w:asciiTheme="minorEastAsia" w:hAnsiTheme="minorEastAsia" w:cs="宋体" w:hint="eastAsia"/>
                <w:sz w:val="24"/>
                <w:szCs w:val="24"/>
              </w:rPr>
              <w:t>植入后的插管部位。新的设计让医师、助理医师和</w:t>
            </w:r>
            <w:proofErr w:type="gramStart"/>
            <w:r w:rsidRPr="009A78D3">
              <w:rPr>
                <w:rFonts w:asciiTheme="minorEastAsia" w:hAnsiTheme="minorEastAsia" w:cs="宋体" w:hint="eastAsia"/>
                <w:sz w:val="24"/>
                <w:szCs w:val="24"/>
              </w:rPr>
              <w:t>或</w:t>
            </w:r>
            <w:proofErr w:type="gramEnd"/>
            <w:r w:rsidRPr="009A78D3">
              <w:rPr>
                <w:rFonts w:asciiTheme="minorEastAsia" w:hAnsiTheme="minorEastAsia" w:cs="宋体" w:hint="eastAsia"/>
                <w:sz w:val="24"/>
                <w:szCs w:val="24"/>
              </w:rPr>
              <w:t xml:space="preserve">护士轻松地置入血液透析和其他治疗的针头。新的设计不需要临床医生改变任何程序或协议。 </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APIO</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医疗设备</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寻求技术许可的合作</w:t>
            </w:r>
          </w:p>
        </w:tc>
      </w:tr>
      <w:tr w:rsidR="007538B2" w:rsidRPr="009A78D3" w:rsidTr="007E53BB">
        <w:trPr>
          <w:trHeight w:val="840"/>
          <w:jc w:val="center"/>
        </w:trPr>
        <w:tc>
          <w:tcPr>
            <w:tcW w:w="794" w:type="dxa"/>
            <w:vAlign w:val="center"/>
          </w:tcPr>
          <w:p w:rsidR="007538B2"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6</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一种治疗小儿患肠套叠的设备</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该装置是由一个加压气体室，连接到不同的过滤器、阀门、加热器，能将空气在一个让病人感到舒适的温度下注入到肠道内的。该设备还具有计算机化的子系统，允许用户接收报警（在异常的情况下）和一个独特的快速脉冲的功能（在需要的情况下）。 </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APIO</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医疗设备</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寻求技术许可的合作</w:t>
            </w:r>
          </w:p>
        </w:tc>
      </w:tr>
      <w:tr w:rsidR="00484E8A" w:rsidRPr="009A78D3" w:rsidTr="007E53BB">
        <w:trPr>
          <w:trHeight w:val="840"/>
          <w:jc w:val="center"/>
        </w:trPr>
        <w:tc>
          <w:tcPr>
            <w:tcW w:w="794"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7</w:t>
            </w:r>
          </w:p>
        </w:tc>
        <w:tc>
          <w:tcPr>
            <w:tcW w:w="1277"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一种诱导肥胖和糖尿病患者饱腹感和限制其吸收热量的新型装置</w:t>
            </w:r>
          </w:p>
        </w:tc>
        <w:tc>
          <w:tcPr>
            <w:tcW w:w="4536" w:type="dxa"/>
            <w:vAlign w:val="center"/>
          </w:tcPr>
          <w:p w:rsidR="00484E8A" w:rsidRPr="009A78D3" w:rsidRDefault="00484E8A"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我们已经开发出一种专利设备，目标是实现显著的减肥效果和缓解潜在的2型糖尿病（T2DM）。我们最初的目标患者是肥胖的T2DM患者。这个装置是内窥镜输送，并通过</w:t>
            </w:r>
            <w:proofErr w:type="gramStart"/>
            <w:r w:rsidRPr="009A78D3">
              <w:rPr>
                <w:rFonts w:asciiTheme="minorEastAsia" w:hAnsiTheme="minorEastAsia" w:cs="宋体" w:hint="eastAsia"/>
                <w:sz w:val="24"/>
                <w:szCs w:val="24"/>
              </w:rPr>
              <w:t>诱导饱胃和</w:t>
            </w:r>
            <w:proofErr w:type="gramEnd"/>
            <w:r w:rsidRPr="009A78D3">
              <w:rPr>
                <w:rFonts w:asciiTheme="minorEastAsia" w:hAnsiTheme="minorEastAsia" w:cs="宋体" w:hint="eastAsia"/>
                <w:sz w:val="24"/>
                <w:szCs w:val="24"/>
              </w:rPr>
              <w:t xml:space="preserve">小肠的食物吸收不良而起作用。该装置部分为减肥手术提供了一个可逆的和微创的替代设计。减肥手术是在临床上被公认为显著促使肥胖患者有效减肥，能令到75-80%的案例获得改善或完全缓解。 本装置的关键竞争优势： </w:t>
            </w:r>
          </w:p>
          <w:p w:rsidR="00484E8A" w:rsidRPr="009A78D3" w:rsidRDefault="00484E8A"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提供了一种微创、可逆的替代传统技术的减肥手术； </w:t>
            </w:r>
          </w:p>
          <w:p w:rsidR="00484E8A" w:rsidRPr="009A78D3" w:rsidRDefault="00484E8A"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lastRenderedPageBreak/>
              <w:t xml:space="preserve">  使用非创伤性的机制，增加了患者的接受，减少病人的不适和并发症。 </w:t>
            </w:r>
          </w:p>
        </w:tc>
        <w:tc>
          <w:tcPr>
            <w:tcW w:w="1275"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w w:val="85"/>
                <w:sz w:val="24"/>
                <w:szCs w:val="24"/>
              </w:rPr>
              <w:lastRenderedPageBreak/>
              <w:t>Foresight</w:t>
            </w:r>
            <w:r w:rsidRPr="009A78D3">
              <w:rPr>
                <w:rFonts w:asciiTheme="minorEastAsia" w:hAnsiTheme="minorEastAsia" w:cs="宋体" w:hint="eastAsia"/>
                <w:sz w:val="24"/>
                <w:szCs w:val="24"/>
              </w:rPr>
              <w:t xml:space="preserve"> ST</w:t>
            </w:r>
          </w:p>
        </w:tc>
        <w:tc>
          <w:tcPr>
            <w:tcW w:w="1276"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医疗设备</w:t>
            </w:r>
          </w:p>
        </w:tc>
        <w:tc>
          <w:tcPr>
            <w:tcW w:w="1304" w:type="dxa"/>
            <w:vAlign w:val="center"/>
          </w:tcPr>
          <w:p w:rsidR="00484E8A" w:rsidRPr="009A78D3" w:rsidRDefault="00484E8A"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寻求中国或欧洲的技术许可、合作研发和产权投资的合作</w:t>
            </w:r>
          </w:p>
        </w:tc>
      </w:tr>
      <w:tr w:rsidR="007538B2" w:rsidRPr="009A78D3" w:rsidTr="007E53BB">
        <w:trPr>
          <w:trHeight w:val="840"/>
          <w:jc w:val="center"/>
        </w:trPr>
        <w:tc>
          <w:tcPr>
            <w:tcW w:w="794" w:type="dxa"/>
            <w:vAlign w:val="center"/>
          </w:tcPr>
          <w:p w:rsidR="007538B2"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8</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污水处理技术</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A过滤器（下面简称“A”）是使用长过滤气缸的再生净化工艺系统。这是革命性的过滤器，它利用厌氧菌（日本专利授权，相关专利在申请中，主要海外市场专利已授权或在申请中）来去除水中氮素（脱氮），消除换水带来的不便，而换水工作阻碍着热带鱼嗜好的传播。A在功能和结构上完全区别</w:t>
            </w:r>
            <w:proofErr w:type="gramStart"/>
            <w:r w:rsidRPr="009A78D3">
              <w:rPr>
                <w:rFonts w:asciiTheme="minorEastAsia" w:hAnsiTheme="minorEastAsia" w:cs="宋体" w:hint="eastAsia"/>
                <w:sz w:val="24"/>
                <w:szCs w:val="24"/>
              </w:rPr>
              <w:t>于至今</w:t>
            </w:r>
            <w:proofErr w:type="gramEnd"/>
            <w:r w:rsidRPr="009A78D3">
              <w:rPr>
                <w:rFonts w:asciiTheme="minorEastAsia" w:hAnsiTheme="minorEastAsia" w:cs="宋体" w:hint="eastAsia"/>
                <w:sz w:val="24"/>
                <w:szCs w:val="24"/>
              </w:rPr>
              <w:t>为止开发的使用厌氧菌的过滤器（例如细菌遍布在砾石或过滤层），成功达到过滤器内的硝化作用和反硝化作用。传统过滤器常见的沟道效应，A通过避免这个问题显著提高过滤效果。</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TRY</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能源与环保</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寻求中国投资成立合资公司运作该项目</w:t>
            </w:r>
          </w:p>
        </w:tc>
      </w:tr>
      <w:tr w:rsidR="007538B2" w:rsidRPr="009A78D3" w:rsidTr="007E53BB">
        <w:trPr>
          <w:trHeight w:val="840"/>
          <w:jc w:val="center"/>
        </w:trPr>
        <w:tc>
          <w:tcPr>
            <w:tcW w:w="794" w:type="dxa"/>
            <w:vAlign w:val="center"/>
          </w:tcPr>
          <w:p w:rsidR="007538B2"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9</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燃料电池技术同族专利包出售项目</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聚合物电解质燃料电池(PEFC)作为电解液，是燃料电池,使用固体聚合物膜。 PEFC很快开始,操作温度低至80到100°C; 和PEFC形成的离子交换膜的优异地耐用等烷基磺酸基于聚合物电解质 (trademark </w:t>
            </w:r>
            <w:proofErr w:type="spellStart"/>
            <w:r w:rsidRPr="009A78D3">
              <w:rPr>
                <w:rFonts w:asciiTheme="minorEastAsia" w:hAnsiTheme="minorEastAsia" w:cs="宋体" w:hint="eastAsia"/>
                <w:sz w:val="24"/>
                <w:szCs w:val="24"/>
              </w:rPr>
              <w:t>Nafion</w:t>
            </w:r>
            <w:proofErr w:type="spellEnd"/>
            <w:r w:rsidRPr="009A78D3">
              <w:rPr>
                <w:rFonts w:asciiTheme="minorEastAsia" w:hAnsiTheme="minorEastAsia" w:cs="宋体" w:hint="eastAsia"/>
                <w:sz w:val="24"/>
                <w:szCs w:val="24"/>
              </w:rPr>
              <w:t>). 因此,PEFC作为汽车燃料电池受到关注，可以装备到汽车。</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w:t>
            </w:r>
            <w:proofErr w:type="gramStart"/>
            <w:r w:rsidRPr="009A78D3">
              <w:rPr>
                <w:rFonts w:asciiTheme="minorEastAsia" w:hAnsiTheme="minorEastAsia" w:cs="宋体" w:hint="eastAsia"/>
                <w:sz w:val="24"/>
                <w:szCs w:val="24"/>
              </w:rPr>
              <w:t>当氢用于</w:t>
            </w:r>
            <w:proofErr w:type="gramEnd"/>
            <w:r w:rsidRPr="009A78D3">
              <w:rPr>
                <w:rFonts w:asciiTheme="minorEastAsia" w:hAnsiTheme="minorEastAsia" w:cs="宋体" w:hint="eastAsia"/>
                <w:sz w:val="24"/>
                <w:szCs w:val="24"/>
              </w:rPr>
              <w:t>燃料,使用昂贵的铂催化剂; 当燃料中存在一氧化碳、铂催化剂是有毒的。</w:t>
            </w:r>
            <w:proofErr w:type="gramStart"/>
            <w:r w:rsidRPr="009A78D3">
              <w:rPr>
                <w:rFonts w:asciiTheme="minorEastAsia" w:hAnsiTheme="minorEastAsia" w:cs="宋体" w:hint="eastAsia"/>
                <w:sz w:val="24"/>
                <w:szCs w:val="24"/>
              </w:rPr>
              <w:t>催化剂中铂的</w:t>
            </w:r>
            <w:proofErr w:type="gramEnd"/>
            <w:r w:rsidRPr="009A78D3">
              <w:rPr>
                <w:rFonts w:asciiTheme="minorEastAsia" w:hAnsiTheme="minorEastAsia" w:cs="宋体" w:hint="eastAsia"/>
                <w:sz w:val="24"/>
                <w:szCs w:val="24"/>
              </w:rPr>
              <w:t>用量应该会减少; 提高了氟离子交换树脂用于电解质的耐久性和成本效益. 这些都是亟待解决的重要问题，在未来用于推广。建议可以在室温下操作，可以在尺寸和重量上减小，因而有望应用到移动设备，燃料电池驱动的车辆等。</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TRY</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能源与环保</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寻求买方购买燃料电池技术专利包</w:t>
            </w:r>
          </w:p>
        </w:tc>
      </w:tr>
      <w:tr w:rsidR="00484E8A" w:rsidRPr="009A78D3" w:rsidTr="007E53BB">
        <w:trPr>
          <w:trHeight w:val="840"/>
          <w:jc w:val="center"/>
        </w:trPr>
        <w:tc>
          <w:tcPr>
            <w:tcW w:w="794"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10</w:t>
            </w:r>
          </w:p>
        </w:tc>
        <w:tc>
          <w:tcPr>
            <w:tcW w:w="1277"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一种革命性的新型锂电池项目</w:t>
            </w:r>
          </w:p>
        </w:tc>
        <w:tc>
          <w:tcPr>
            <w:tcW w:w="4536" w:type="dxa"/>
            <w:vAlign w:val="center"/>
          </w:tcPr>
          <w:p w:rsidR="00484E8A" w:rsidRPr="009A78D3" w:rsidRDefault="00484E8A"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是第一种基于含有多个完全相同细孔，或&lt;微孔区&gt;（每平方英寸约有23万个孔@ 20微米）的多孔硅结构的全功能阳极电池；有三组不同的配件：一个双晶片组件，一个单晶片电池组件和一个</w:t>
            </w:r>
            <w:proofErr w:type="gramStart"/>
            <w:r w:rsidRPr="009A78D3">
              <w:rPr>
                <w:rFonts w:asciiTheme="minorEastAsia" w:hAnsiTheme="minorEastAsia" w:cs="宋体" w:hint="eastAsia"/>
                <w:sz w:val="24"/>
                <w:szCs w:val="24"/>
              </w:rPr>
              <w:t>锂</w:t>
            </w:r>
            <w:proofErr w:type="gramEnd"/>
            <w:r w:rsidRPr="009A78D3">
              <w:rPr>
                <w:rFonts w:asciiTheme="minorEastAsia" w:hAnsiTheme="minorEastAsia" w:cs="宋体" w:hint="eastAsia"/>
                <w:sz w:val="24"/>
                <w:szCs w:val="24"/>
              </w:rPr>
              <w:t>空气电池组件（一头敞开）。每个所提到的配件都代表着能量和功率密度方面的逐渐改</w:t>
            </w:r>
            <w:r w:rsidRPr="009A78D3">
              <w:rPr>
                <w:rFonts w:asciiTheme="minorEastAsia" w:hAnsiTheme="minorEastAsia" w:cs="宋体" w:hint="eastAsia"/>
                <w:sz w:val="24"/>
                <w:szCs w:val="24"/>
              </w:rPr>
              <w:lastRenderedPageBreak/>
              <w:t>善。</w:t>
            </w:r>
          </w:p>
          <w:p w:rsidR="00484E8A" w:rsidRPr="009A78D3" w:rsidRDefault="00484E8A"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其设计实际上是“化学不可知论”，因为它可以采用各种活性物质的化学性质。本质上来说，S电池的结构可以被认为是“面向未来”的，因为它可以利用新研发的化学物质的优势。</w:t>
            </w:r>
          </w:p>
        </w:tc>
        <w:tc>
          <w:tcPr>
            <w:tcW w:w="1275" w:type="dxa"/>
            <w:vAlign w:val="center"/>
          </w:tcPr>
          <w:p w:rsidR="00484E8A" w:rsidRPr="009A78D3" w:rsidRDefault="00484E8A"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lastRenderedPageBreak/>
              <w:t>汇桔网代表</w:t>
            </w:r>
            <w:proofErr w:type="gramEnd"/>
            <w:r w:rsidRPr="009A78D3">
              <w:rPr>
                <w:rFonts w:asciiTheme="minorEastAsia" w:hAnsiTheme="minorEastAsia" w:cs="宋体" w:hint="eastAsia"/>
                <w:sz w:val="24"/>
                <w:szCs w:val="24"/>
              </w:rPr>
              <w:t>代为介绍</w:t>
            </w:r>
          </w:p>
        </w:tc>
        <w:tc>
          <w:tcPr>
            <w:tcW w:w="1276" w:type="dxa"/>
            <w:vAlign w:val="center"/>
          </w:tcPr>
          <w:p w:rsidR="00484E8A" w:rsidRPr="009A78D3" w:rsidRDefault="00484E8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能源与环保</w:t>
            </w:r>
          </w:p>
        </w:tc>
        <w:tc>
          <w:tcPr>
            <w:tcW w:w="1304" w:type="dxa"/>
            <w:vAlign w:val="center"/>
          </w:tcPr>
          <w:p w:rsidR="00484E8A" w:rsidRPr="009A78D3" w:rsidRDefault="00484E8A"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寻求中国投资成立合资公司运作该项目</w:t>
            </w:r>
          </w:p>
        </w:tc>
      </w:tr>
      <w:tr w:rsidR="007538B2" w:rsidRPr="009A78D3" w:rsidTr="007E53BB">
        <w:trPr>
          <w:trHeight w:val="840"/>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11</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海藻</w:t>
            </w:r>
            <w:proofErr w:type="gramStart"/>
            <w:r w:rsidRPr="009A78D3">
              <w:rPr>
                <w:rFonts w:asciiTheme="minorEastAsia" w:hAnsiTheme="minorEastAsia" w:cs="宋体" w:hint="eastAsia"/>
                <w:sz w:val="24"/>
                <w:szCs w:val="24"/>
              </w:rPr>
              <w:t>炭</w:t>
            </w:r>
            <w:proofErr w:type="gramEnd"/>
            <w:r w:rsidRPr="009A78D3">
              <w:rPr>
                <w:rFonts w:asciiTheme="minorEastAsia" w:hAnsiTheme="minorEastAsia" w:cs="宋体" w:hint="eastAsia"/>
                <w:sz w:val="24"/>
                <w:szCs w:val="24"/>
              </w:rPr>
              <w:t>转换能源技术</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该创新主要包括以下几个部分： </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在光生物反应器培养和复原C海藻； </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利用C海藻生物量对废旧煤和煤粉进行分选和升级； </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C海藻</w:t>
            </w:r>
            <w:proofErr w:type="gramStart"/>
            <w:r w:rsidRPr="009A78D3">
              <w:rPr>
                <w:rFonts w:asciiTheme="minorEastAsia" w:hAnsiTheme="minorEastAsia" w:cs="宋体" w:hint="eastAsia"/>
                <w:sz w:val="24"/>
                <w:szCs w:val="24"/>
              </w:rPr>
              <w:t>炭</w:t>
            </w:r>
            <w:proofErr w:type="gramEnd"/>
            <w:r w:rsidRPr="009A78D3">
              <w:rPr>
                <w:rFonts w:asciiTheme="minorEastAsia" w:hAnsiTheme="minorEastAsia" w:cs="宋体" w:hint="eastAsia"/>
                <w:sz w:val="24"/>
                <w:szCs w:val="24"/>
              </w:rPr>
              <w:t xml:space="preserve">复合物转化为能源产品如生物原油、天然气和洁净煤。 </w:t>
            </w:r>
          </w:p>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基于试验数据，一个100公顷的C海藻培养设施将产生足够的生物量，将每年200000吨产量的废弃煤矿升级为220000吨C海藻复合物。C海藻复合物在低温下的热解会产生150000吨的洁净煤和280000桶可进一步精炼成液体燃料的轻质原油。 </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t>汇桔网代表</w:t>
            </w:r>
            <w:proofErr w:type="gramEnd"/>
            <w:r w:rsidRPr="009A78D3">
              <w:rPr>
                <w:rFonts w:asciiTheme="minorEastAsia" w:hAnsiTheme="minorEastAsia" w:cs="宋体" w:hint="eastAsia"/>
                <w:sz w:val="24"/>
                <w:szCs w:val="24"/>
              </w:rPr>
              <w:t>代为介绍</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能源与环保</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寻求投资人建设样板厂</w:t>
            </w:r>
          </w:p>
        </w:tc>
      </w:tr>
      <w:tr w:rsidR="007538B2" w:rsidRPr="009A78D3" w:rsidTr="007E53BB">
        <w:trPr>
          <w:trHeight w:val="840"/>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12</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VR虚拟现实技术项目</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用户可以利用</w:t>
            </w:r>
            <w:r w:rsidR="00B85E61" w:rsidRPr="009A78D3">
              <w:rPr>
                <w:rFonts w:asciiTheme="minorEastAsia" w:hAnsiTheme="minorEastAsia" w:cs="宋体" w:hint="eastAsia"/>
                <w:sz w:val="24"/>
                <w:szCs w:val="24"/>
              </w:rPr>
              <w:t xml:space="preserve">转盘亲自拍摄多视点视频 </w:t>
            </w:r>
            <w:r w:rsidRPr="009A78D3">
              <w:rPr>
                <w:rFonts w:asciiTheme="minorEastAsia" w:hAnsiTheme="minorEastAsia" w:cs="宋体" w:hint="eastAsia"/>
                <w:sz w:val="24"/>
                <w:szCs w:val="24"/>
              </w:rPr>
              <w:t>(Multi-Angle Video)，然后在</w:t>
            </w:r>
            <w:r w:rsidR="00B85E61" w:rsidRPr="009A78D3">
              <w:rPr>
                <w:rFonts w:asciiTheme="minorEastAsia" w:hAnsiTheme="minorEastAsia" w:cs="宋体" w:hint="eastAsia"/>
                <w:sz w:val="24"/>
                <w:szCs w:val="24"/>
              </w:rPr>
              <w:t>应</w:t>
            </w:r>
            <w:r w:rsidRPr="009A78D3">
              <w:rPr>
                <w:rFonts w:asciiTheme="minorEastAsia" w:hAnsiTheme="minorEastAsia" w:cs="宋体" w:hint="eastAsia"/>
                <w:sz w:val="24"/>
                <w:szCs w:val="24"/>
              </w:rPr>
              <w:t>用程序中进行360度观看。</w:t>
            </w:r>
            <w:r w:rsidR="00B85E61" w:rsidRPr="009A78D3">
              <w:rPr>
                <w:rFonts w:asciiTheme="minorEastAsia" w:hAnsiTheme="minorEastAsia" w:cs="宋体" w:hint="eastAsia"/>
                <w:sz w:val="24"/>
                <w:szCs w:val="24"/>
              </w:rPr>
              <w:t>这是世界上的第一献多角度相机．用户使用转盘</w:t>
            </w:r>
            <w:r w:rsidRPr="009A78D3">
              <w:rPr>
                <w:rFonts w:asciiTheme="minorEastAsia" w:hAnsiTheme="minorEastAsia" w:cs="宋体" w:hint="eastAsia"/>
                <w:sz w:val="24"/>
                <w:szCs w:val="24"/>
              </w:rPr>
              <w:t>可以</w:t>
            </w:r>
            <w:r w:rsidR="00B85E61" w:rsidRPr="009A78D3">
              <w:rPr>
                <w:rFonts w:asciiTheme="minorEastAsia" w:hAnsiTheme="minorEastAsia" w:cs="宋体" w:hint="eastAsia"/>
                <w:sz w:val="24"/>
                <w:szCs w:val="24"/>
              </w:rPr>
              <w:t>在没有专业摄影技术或特效技术的情况</w:t>
            </w:r>
            <w:r w:rsidRPr="009A78D3">
              <w:rPr>
                <w:rFonts w:asciiTheme="minorEastAsia" w:hAnsiTheme="minorEastAsia" w:cs="宋体" w:hint="eastAsia"/>
                <w:sz w:val="24"/>
                <w:szCs w:val="24"/>
              </w:rPr>
              <w:t>下制作出像</w:t>
            </w:r>
            <w:r w:rsidR="00B85E61" w:rsidRPr="009A78D3">
              <w:rPr>
                <w:rFonts w:asciiTheme="minorEastAsia" w:hAnsiTheme="minorEastAsia" w:cs="宋体" w:hint="eastAsia"/>
                <w:sz w:val="24"/>
                <w:szCs w:val="24"/>
              </w:rPr>
              <w:t>电</w:t>
            </w:r>
            <w:r w:rsidRPr="009A78D3">
              <w:rPr>
                <w:rFonts w:asciiTheme="minorEastAsia" w:hAnsiTheme="minorEastAsia" w:cs="宋体" w:hint="eastAsia"/>
                <w:sz w:val="24"/>
                <w:szCs w:val="24"/>
              </w:rPr>
              <w:t>影《黑窖帝国</w:t>
            </w:r>
            <w:r w:rsidR="00B85E61" w:rsidRPr="009A78D3">
              <w:rPr>
                <w:rFonts w:asciiTheme="minorEastAsia" w:hAnsiTheme="minorEastAsia" w:cs="宋体" w:hint="eastAsia"/>
                <w:sz w:val="24"/>
                <w:szCs w:val="24"/>
              </w:rPr>
              <w:t>》</w:t>
            </w:r>
            <w:r w:rsidRPr="009A78D3">
              <w:rPr>
                <w:rFonts w:asciiTheme="minorEastAsia" w:hAnsiTheme="minorEastAsia" w:cs="宋体" w:hint="eastAsia"/>
                <w:sz w:val="24"/>
                <w:szCs w:val="24"/>
              </w:rPr>
              <w:t>般的360</w:t>
            </w:r>
            <w:r w:rsidR="00B85E61" w:rsidRPr="009A78D3">
              <w:rPr>
                <w:rFonts w:asciiTheme="minorEastAsia" w:hAnsiTheme="minorEastAsia" w:cs="宋体" w:hint="eastAsia"/>
                <w:sz w:val="24"/>
                <w:szCs w:val="24"/>
              </w:rPr>
              <w:t>度旋转</w:t>
            </w:r>
            <w:r w:rsidRPr="009A78D3">
              <w:rPr>
                <w:rFonts w:asciiTheme="minorEastAsia" w:hAnsiTheme="minorEastAsia" w:cs="宋体" w:hint="eastAsia"/>
                <w:sz w:val="24"/>
                <w:szCs w:val="24"/>
              </w:rPr>
              <w:t>场面，然后进行观看并共享。</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t>汇桔网代表</w:t>
            </w:r>
            <w:proofErr w:type="gramEnd"/>
            <w:r w:rsidRPr="009A78D3">
              <w:rPr>
                <w:rFonts w:asciiTheme="minorEastAsia" w:hAnsiTheme="minorEastAsia" w:cs="宋体" w:hint="eastAsia"/>
                <w:sz w:val="24"/>
                <w:szCs w:val="24"/>
              </w:rPr>
              <w:t>代为介绍</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数码通讯</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寻求中国投资机构扩大经营规模</w:t>
            </w:r>
          </w:p>
        </w:tc>
      </w:tr>
      <w:tr w:rsidR="007538B2" w:rsidRPr="009A78D3" w:rsidTr="007E53BB">
        <w:trPr>
          <w:trHeight w:val="840"/>
          <w:jc w:val="center"/>
        </w:trPr>
        <w:tc>
          <w:tcPr>
            <w:tcW w:w="794"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13</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创新电焊工艺</w:t>
            </w:r>
          </w:p>
        </w:tc>
        <w:tc>
          <w:tcPr>
            <w:tcW w:w="4536" w:type="dxa"/>
            <w:vAlign w:val="center"/>
          </w:tcPr>
          <w:p w:rsidR="007538B2" w:rsidRPr="009A78D3" w:rsidRDefault="00851C20"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疏导热气流和承受压应力的大型工程结构的曝露，随着时间推移经过一个称之为蠕变的冶金过程，导致缓慢降解。蠕变侵蚀结构的结构性完整，并可以导致结构和功能性故障。目前经常从部件的表面提取出样品，或截取部件中的一块作为样品，而提前这些样品直接影响工厂部件的寿命。从部件表面提取的样品不具有代表性，而截取部件取作样品往往会使结构进一步弱化。然而，工艺不仅能取得深度的样品而且修复后甚至比原构件强。样品和维修均可以由一台机器在现场作业完成，且需</w:t>
            </w:r>
            <w:r w:rsidRPr="009A78D3">
              <w:rPr>
                <w:rFonts w:asciiTheme="minorEastAsia" w:hAnsiTheme="minorEastAsia" w:cs="宋体" w:hint="eastAsia"/>
                <w:sz w:val="24"/>
                <w:szCs w:val="24"/>
              </w:rPr>
              <w:lastRenderedPageBreak/>
              <w:t>要工厂停机的时间很少。工艺允许在一个具有代表性的圆柱冶金样品从管道或构件中进行原位去除，并使用固态焊接技术对去除点进行维修。该技术还可以分析冶金样品以确定其导管或组件的损坏和剩余寿命。</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lastRenderedPageBreak/>
              <w:t>汇桔网代表</w:t>
            </w:r>
            <w:proofErr w:type="gramEnd"/>
            <w:r w:rsidRPr="009A78D3">
              <w:rPr>
                <w:rFonts w:asciiTheme="minorEastAsia" w:hAnsiTheme="minorEastAsia" w:cs="宋体" w:hint="eastAsia"/>
                <w:sz w:val="24"/>
                <w:szCs w:val="24"/>
              </w:rPr>
              <w:t>代为介绍</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装备制造</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寻求投资合伙人进入中国工业市场</w:t>
            </w:r>
          </w:p>
        </w:tc>
      </w:tr>
      <w:tr w:rsidR="007538B2" w:rsidRPr="009A78D3" w:rsidTr="007E53BB">
        <w:trPr>
          <w:trHeight w:val="840"/>
          <w:jc w:val="center"/>
        </w:trPr>
        <w:tc>
          <w:tcPr>
            <w:tcW w:w="794" w:type="dxa"/>
            <w:vAlign w:val="center"/>
          </w:tcPr>
          <w:p w:rsidR="007538B2"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14</w:t>
            </w:r>
          </w:p>
        </w:tc>
        <w:tc>
          <w:tcPr>
            <w:tcW w:w="1277"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浸水车安全系统</w:t>
            </w:r>
          </w:p>
        </w:tc>
        <w:tc>
          <w:tcPr>
            <w:tcW w:w="4536" w:type="dxa"/>
            <w:vAlign w:val="center"/>
          </w:tcPr>
          <w:p w:rsidR="007538B2" w:rsidRPr="009A78D3" w:rsidRDefault="00851C20" w:rsidP="00722C15">
            <w:pPr>
              <w:spacing w:line="276" w:lineRule="auto"/>
              <w:rPr>
                <w:rFonts w:asciiTheme="minorEastAsia" w:hAnsiTheme="minorEastAsia"/>
                <w:sz w:val="24"/>
                <w:szCs w:val="24"/>
              </w:rPr>
            </w:pPr>
            <w:r w:rsidRPr="009A78D3">
              <w:rPr>
                <w:rFonts w:asciiTheme="minorEastAsia" w:hAnsiTheme="minorEastAsia" w:hint="eastAsia"/>
                <w:sz w:val="24"/>
                <w:szCs w:val="24"/>
              </w:rPr>
              <w:t xml:space="preserve">    车辆浸没检测模块由一块专门设计的水传感器套构成，它探测车辆浸水事故的可靠性高，并最大限度地</w:t>
            </w:r>
            <w:proofErr w:type="gramStart"/>
            <w:r w:rsidRPr="009A78D3">
              <w:rPr>
                <w:rFonts w:asciiTheme="minorEastAsia" w:hAnsiTheme="minorEastAsia" w:hint="eastAsia"/>
                <w:sz w:val="24"/>
                <w:szCs w:val="24"/>
              </w:rPr>
              <w:t>减少假</w:t>
            </w:r>
            <w:proofErr w:type="gramEnd"/>
            <w:r w:rsidRPr="009A78D3">
              <w:rPr>
                <w:rFonts w:asciiTheme="minorEastAsia" w:hAnsiTheme="minorEastAsia" w:hint="eastAsia"/>
                <w:sz w:val="24"/>
                <w:szCs w:val="24"/>
              </w:rPr>
              <w:t>警报。传感器的安置，还可以快速自动打开车窗，以响应事故探测，给车内乘客预留宝贵的时间，在车辆淹没之前安全脱离。位置传感器可以定位，如果汽车侧放或倒置时，汽车的重心会使其慢慢旋转到垂直状态。一旦汽车完全旋转到直立位置，传感器可确保乘客颠倒时，就可以打开车窗，以防止汽车灌水到头上。</w:t>
            </w:r>
          </w:p>
        </w:tc>
        <w:tc>
          <w:tcPr>
            <w:tcW w:w="1275" w:type="dxa"/>
            <w:vAlign w:val="center"/>
          </w:tcPr>
          <w:p w:rsidR="007538B2" w:rsidRPr="009A78D3" w:rsidRDefault="00851C20"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t>汇桔网代表</w:t>
            </w:r>
            <w:proofErr w:type="gramEnd"/>
            <w:r w:rsidRPr="009A78D3">
              <w:rPr>
                <w:rFonts w:asciiTheme="minorEastAsia" w:hAnsiTheme="minorEastAsia" w:cs="宋体" w:hint="eastAsia"/>
                <w:sz w:val="24"/>
                <w:szCs w:val="24"/>
              </w:rPr>
              <w:t>代为介绍</w:t>
            </w:r>
          </w:p>
        </w:tc>
        <w:tc>
          <w:tcPr>
            <w:tcW w:w="1276" w:type="dxa"/>
            <w:vAlign w:val="center"/>
          </w:tcPr>
          <w:p w:rsidR="007538B2" w:rsidRPr="009A78D3" w:rsidRDefault="00851C20"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交通运输</w:t>
            </w:r>
          </w:p>
        </w:tc>
        <w:tc>
          <w:tcPr>
            <w:tcW w:w="1304" w:type="dxa"/>
            <w:vAlign w:val="center"/>
          </w:tcPr>
          <w:p w:rsidR="007538B2" w:rsidRPr="009A78D3" w:rsidRDefault="00851C20"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寻求该技术联合开发伙伴，专利被许可方或其他双赢合作模式</w:t>
            </w:r>
          </w:p>
        </w:tc>
      </w:tr>
      <w:tr w:rsidR="006946AE" w:rsidRPr="009A78D3" w:rsidTr="007E53BB">
        <w:trPr>
          <w:trHeight w:val="840"/>
          <w:jc w:val="center"/>
        </w:trPr>
        <w:tc>
          <w:tcPr>
            <w:tcW w:w="794" w:type="dxa"/>
            <w:vAlign w:val="center"/>
          </w:tcPr>
          <w:p w:rsidR="006946AE"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15</w:t>
            </w:r>
          </w:p>
        </w:tc>
        <w:tc>
          <w:tcPr>
            <w:tcW w:w="1277" w:type="dxa"/>
            <w:vAlign w:val="center"/>
          </w:tcPr>
          <w:p w:rsidR="006946AE" w:rsidRPr="009A78D3" w:rsidRDefault="006946AE"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一种柔性电子器件的平台技术</w:t>
            </w:r>
          </w:p>
        </w:tc>
        <w:tc>
          <w:tcPr>
            <w:tcW w:w="4536" w:type="dxa"/>
            <w:vAlign w:val="center"/>
          </w:tcPr>
          <w:p w:rsidR="006946AE" w:rsidRPr="009A78D3" w:rsidRDefault="006946AE" w:rsidP="00722C15">
            <w:pPr>
              <w:spacing w:line="276" w:lineRule="auto"/>
              <w:rPr>
                <w:rFonts w:asciiTheme="minorEastAsia" w:hAnsiTheme="minorEastAsia"/>
                <w:sz w:val="24"/>
                <w:szCs w:val="24"/>
              </w:rPr>
            </w:pPr>
            <w:r w:rsidRPr="009A78D3">
              <w:rPr>
                <w:rFonts w:asciiTheme="minorEastAsia" w:hAnsiTheme="minorEastAsia" w:hint="eastAsia"/>
                <w:sz w:val="24"/>
                <w:szCs w:val="24"/>
              </w:rPr>
              <w:t>该技术遵循的工艺可以使得柔性透明基板（如单晶硅等）在电子器件中作为半导体打印和布线的平台。该技术成本低，生产可兼容传统CMOS技术。它涉及了氧化、蚀刻、植入和掩蔽等步骤，以受控的方式建立横跨基板的垂直通道。技术一旦实现，各向异性的蚀刻在基板的薄层脱落之前顺利完成，可以检测到亚微米级的厚度。由此产生的基板具有良好的光学透明性，机械柔性和强度。只有这种低成本技术可以提供电子基板。该技术兼容广泛使用的CMOS技术。它提供了有效使用良好吞吐量的电子基板，有效利用和回收基板材料。</w:t>
            </w:r>
          </w:p>
        </w:tc>
        <w:tc>
          <w:tcPr>
            <w:tcW w:w="1275" w:type="dxa"/>
            <w:vAlign w:val="center"/>
          </w:tcPr>
          <w:p w:rsidR="006946AE" w:rsidRPr="009A78D3" w:rsidRDefault="006946AE"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t>汇桔网代表</w:t>
            </w:r>
            <w:proofErr w:type="gramEnd"/>
            <w:r w:rsidRPr="009A78D3">
              <w:rPr>
                <w:rFonts w:asciiTheme="minorEastAsia" w:hAnsiTheme="minorEastAsia" w:cs="宋体" w:hint="eastAsia"/>
                <w:sz w:val="24"/>
                <w:szCs w:val="24"/>
              </w:rPr>
              <w:t>代为介绍</w:t>
            </w:r>
          </w:p>
        </w:tc>
        <w:tc>
          <w:tcPr>
            <w:tcW w:w="1276" w:type="dxa"/>
            <w:vAlign w:val="center"/>
          </w:tcPr>
          <w:p w:rsidR="006946AE" w:rsidRPr="009A78D3" w:rsidRDefault="00023CD7"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电子电工</w:t>
            </w:r>
          </w:p>
        </w:tc>
        <w:tc>
          <w:tcPr>
            <w:tcW w:w="1304" w:type="dxa"/>
            <w:vAlign w:val="center"/>
          </w:tcPr>
          <w:p w:rsidR="006946AE" w:rsidRPr="009A78D3" w:rsidRDefault="006946AE"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寻求该技术联合开发伙伴，专利被许可方或其他双赢合作模式</w:t>
            </w:r>
          </w:p>
        </w:tc>
      </w:tr>
      <w:tr w:rsidR="006946AE" w:rsidRPr="009A78D3" w:rsidTr="007E53BB">
        <w:trPr>
          <w:trHeight w:val="840"/>
          <w:jc w:val="center"/>
        </w:trPr>
        <w:tc>
          <w:tcPr>
            <w:tcW w:w="794" w:type="dxa"/>
            <w:vAlign w:val="center"/>
          </w:tcPr>
          <w:p w:rsidR="006946AE"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16</w:t>
            </w:r>
          </w:p>
        </w:tc>
        <w:tc>
          <w:tcPr>
            <w:tcW w:w="1277" w:type="dxa"/>
            <w:vAlign w:val="center"/>
          </w:tcPr>
          <w:p w:rsidR="006946AE" w:rsidRPr="009A78D3" w:rsidRDefault="006946AE"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热电材料工程设计作为绿色发电机的技术</w:t>
            </w:r>
          </w:p>
        </w:tc>
        <w:tc>
          <w:tcPr>
            <w:tcW w:w="4536" w:type="dxa"/>
            <w:vAlign w:val="center"/>
          </w:tcPr>
          <w:p w:rsidR="006946AE" w:rsidRPr="009A78D3" w:rsidRDefault="006946AE" w:rsidP="00722C15">
            <w:pPr>
              <w:spacing w:line="276" w:lineRule="auto"/>
              <w:rPr>
                <w:rFonts w:asciiTheme="minorEastAsia" w:hAnsiTheme="minorEastAsia"/>
                <w:sz w:val="24"/>
                <w:szCs w:val="24"/>
              </w:rPr>
            </w:pPr>
            <w:r w:rsidRPr="009A78D3">
              <w:rPr>
                <w:rFonts w:asciiTheme="minorEastAsia" w:hAnsiTheme="minorEastAsia" w:hint="eastAsia"/>
                <w:sz w:val="24"/>
                <w:szCs w:val="24"/>
              </w:rPr>
              <w:t>该技术与柔性的或硬性基板（如玻璃窗）嵌入热力材料相关。基板两侧的温度差产生ΔT °C。这种多样性由n-型和P-型热力材料探测时，可以通过特定系统设计积累建立电力潜力，最终产生整体高电流的输出。该技术利用损失的和未得到利用的能量来生产电力。因此，此技术在节能或需要替代电能领域发挥作用。</w:t>
            </w:r>
          </w:p>
          <w:p w:rsidR="006946AE" w:rsidRPr="009A78D3" w:rsidRDefault="006946AE" w:rsidP="00722C15">
            <w:pPr>
              <w:spacing w:line="276" w:lineRule="auto"/>
              <w:rPr>
                <w:rFonts w:asciiTheme="minorEastAsia" w:hAnsiTheme="minorEastAsia"/>
                <w:sz w:val="24"/>
                <w:szCs w:val="24"/>
              </w:rPr>
            </w:pPr>
            <w:r w:rsidRPr="009A78D3">
              <w:rPr>
                <w:rFonts w:asciiTheme="minorEastAsia" w:hAnsiTheme="minorEastAsia" w:hint="eastAsia"/>
                <w:sz w:val="24"/>
                <w:szCs w:val="24"/>
              </w:rPr>
              <w:lastRenderedPageBreak/>
              <w:t>此外，这个概念可以适用于不同的系统，无论是固定的如绿色建筑，还是移动电话和电子设备。除此之外，此技术依赖于免费热能的使用，将其转化为电流，可以直接使用或存储。这一点反过来除了其绿色环保影响外，对于能源消耗具有经济优势。</w:t>
            </w:r>
          </w:p>
          <w:p w:rsidR="006946AE" w:rsidRPr="009A78D3" w:rsidRDefault="006946AE" w:rsidP="00722C15">
            <w:pPr>
              <w:spacing w:line="276" w:lineRule="auto"/>
              <w:rPr>
                <w:rFonts w:asciiTheme="minorEastAsia" w:hAnsiTheme="minorEastAsia"/>
                <w:sz w:val="24"/>
                <w:szCs w:val="24"/>
              </w:rPr>
            </w:pPr>
            <w:r w:rsidRPr="009A78D3">
              <w:rPr>
                <w:rFonts w:asciiTheme="minorEastAsia" w:hAnsiTheme="minorEastAsia" w:hint="eastAsia"/>
                <w:sz w:val="24"/>
                <w:szCs w:val="24"/>
              </w:rPr>
              <w:t>该技术的灵活性，使得其作为现有设备的集成部分或作为特设的实用程序，如储能系统。</w:t>
            </w:r>
          </w:p>
        </w:tc>
        <w:tc>
          <w:tcPr>
            <w:tcW w:w="1275" w:type="dxa"/>
            <w:vAlign w:val="center"/>
          </w:tcPr>
          <w:p w:rsidR="006946AE" w:rsidRPr="009A78D3" w:rsidRDefault="006946AE"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lastRenderedPageBreak/>
              <w:t>汇桔网代表</w:t>
            </w:r>
            <w:proofErr w:type="gramEnd"/>
            <w:r w:rsidRPr="009A78D3">
              <w:rPr>
                <w:rFonts w:asciiTheme="minorEastAsia" w:hAnsiTheme="minorEastAsia" w:cs="宋体" w:hint="eastAsia"/>
                <w:sz w:val="24"/>
                <w:szCs w:val="24"/>
              </w:rPr>
              <w:t>代为介绍</w:t>
            </w:r>
          </w:p>
        </w:tc>
        <w:tc>
          <w:tcPr>
            <w:tcW w:w="1276" w:type="dxa"/>
            <w:vAlign w:val="center"/>
          </w:tcPr>
          <w:p w:rsidR="006946AE" w:rsidRPr="009A78D3" w:rsidRDefault="00023CD7"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机械机电</w:t>
            </w:r>
          </w:p>
        </w:tc>
        <w:tc>
          <w:tcPr>
            <w:tcW w:w="1304" w:type="dxa"/>
            <w:vAlign w:val="center"/>
          </w:tcPr>
          <w:p w:rsidR="006946AE" w:rsidRPr="009A78D3" w:rsidRDefault="006946AE"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寻求专利许可，或技术转移</w:t>
            </w:r>
            <w:r w:rsidR="004C31A5" w:rsidRPr="009A78D3">
              <w:rPr>
                <w:rFonts w:asciiTheme="minorEastAsia" w:hAnsiTheme="minorEastAsia" w:cs="宋体" w:hint="eastAsia"/>
                <w:color w:val="FF0000"/>
                <w:sz w:val="24"/>
                <w:szCs w:val="24"/>
              </w:rPr>
              <w:t>的合作</w:t>
            </w:r>
          </w:p>
        </w:tc>
      </w:tr>
      <w:tr w:rsidR="006946AE" w:rsidRPr="009A78D3" w:rsidTr="007E53BB">
        <w:trPr>
          <w:trHeight w:val="840"/>
          <w:jc w:val="center"/>
        </w:trPr>
        <w:tc>
          <w:tcPr>
            <w:tcW w:w="794" w:type="dxa"/>
            <w:vAlign w:val="center"/>
          </w:tcPr>
          <w:p w:rsidR="006946AE"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17</w:t>
            </w:r>
          </w:p>
        </w:tc>
        <w:tc>
          <w:tcPr>
            <w:tcW w:w="1277" w:type="dxa"/>
            <w:vAlign w:val="center"/>
          </w:tcPr>
          <w:p w:rsidR="006946AE" w:rsidRPr="009A78D3" w:rsidRDefault="006946AE"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室内园艺的激光照明技术</w:t>
            </w:r>
          </w:p>
        </w:tc>
        <w:tc>
          <w:tcPr>
            <w:tcW w:w="4536" w:type="dxa"/>
            <w:vAlign w:val="center"/>
          </w:tcPr>
          <w:p w:rsidR="006946AE" w:rsidRPr="009A78D3" w:rsidRDefault="006946AE" w:rsidP="00722C15">
            <w:pPr>
              <w:spacing w:line="276" w:lineRule="auto"/>
              <w:rPr>
                <w:rFonts w:asciiTheme="minorEastAsia" w:hAnsiTheme="minorEastAsia"/>
                <w:sz w:val="24"/>
                <w:szCs w:val="24"/>
              </w:rPr>
            </w:pPr>
            <w:r w:rsidRPr="009A78D3">
              <w:rPr>
                <w:rFonts w:asciiTheme="minorEastAsia" w:hAnsiTheme="minorEastAsia" w:hint="eastAsia"/>
                <w:sz w:val="24"/>
                <w:szCs w:val="24"/>
              </w:rPr>
              <w:t>基于激光照明的系统取代传统的能源密集和需要不断监测维护的荧光或LED技术。单源激光有可能取代上百个荧光灯管和LED灯。相比每4400小时更换一次的传统的</w:t>
            </w:r>
            <w:r w:rsidRPr="009A78D3">
              <w:rPr>
                <w:rFonts w:ascii="MS Mincho" w:eastAsia="MS Mincho" w:hAnsi="MS Mincho" w:cs="MS Mincho" w:hint="eastAsia"/>
                <w:sz w:val="24"/>
                <w:szCs w:val="24"/>
              </w:rPr>
              <w:t>ﬂ</w:t>
            </w:r>
            <w:r w:rsidRPr="009A78D3">
              <w:rPr>
                <w:rFonts w:asciiTheme="minorEastAsia" w:hAnsiTheme="minorEastAsia" w:hint="eastAsia"/>
                <w:sz w:val="24"/>
                <w:szCs w:val="24"/>
              </w:rPr>
              <w:t>荧光技术，这种新技术可持续20000小时。它提供了更多更高功率的光到更广阔的领域。 同时它也没有低效率（在LED技术中遇到的效率降低）的问题。由于光照可以远程生成并提供，这种可升级的技术相比现有技术节约成本。</w:t>
            </w:r>
          </w:p>
          <w:p w:rsidR="006946AE" w:rsidRPr="009A78D3" w:rsidRDefault="006946AE" w:rsidP="00722C15">
            <w:pPr>
              <w:spacing w:line="276" w:lineRule="auto"/>
              <w:rPr>
                <w:rFonts w:asciiTheme="minorEastAsia" w:hAnsiTheme="minorEastAsia"/>
                <w:sz w:val="24"/>
                <w:szCs w:val="24"/>
              </w:rPr>
            </w:pPr>
            <w:r w:rsidRPr="009A78D3">
              <w:rPr>
                <w:rFonts w:asciiTheme="minorEastAsia" w:hAnsiTheme="minorEastAsia" w:hint="eastAsia"/>
                <w:sz w:val="24"/>
                <w:szCs w:val="24"/>
              </w:rPr>
              <w:t>该技术有效利用能源，不需要冷却，节约了水和空间。此外，它还可以瞬间开通和关闭，从而生成高效光合作用所需的光能。</w:t>
            </w:r>
          </w:p>
        </w:tc>
        <w:tc>
          <w:tcPr>
            <w:tcW w:w="1275" w:type="dxa"/>
            <w:vAlign w:val="center"/>
          </w:tcPr>
          <w:p w:rsidR="006946AE" w:rsidRPr="009A78D3" w:rsidRDefault="006946AE"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t>汇桔网代表</w:t>
            </w:r>
            <w:proofErr w:type="gramEnd"/>
            <w:r w:rsidRPr="009A78D3">
              <w:rPr>
                <w:rFonts w:asciiTheme="minorEastAsia" w:hAnsiTheme="minorEastAsia" w:cs="宋体" w:hint="eastAsia"/>
                <w:sz w:val="24"/>
                <w:szCs w:val="24"/>
              </w:rPr>
              <w:t>代为介绍</w:t>
            </w:r>
          </w:p>
        </w:tc>
        <w:tc>
          <w:tcPr>
            <w:tcW w:w="1276" w:type="dxa"/>
            <w:vAlign w:val="center"/>
          </w:tcPr>
          <w:p w:rsidR="006946AE" w:rsidRPr="009A78D3" w:rsidRDefault="00023CD7"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电子电工</w:t>
            </w:r>
          </w:p>
        </w:tc>
        <w:tc>
          <w:tcPr>
            <w:tcW w:w="1304" w:type="dxa"/>
            <w:vAlign w:val="center"/>
          </w:tcPr>
          <w:p w:rsidR="006946AE" w:rsidRPr="009A78D3" w:rsidRDefault="006946AE" w:rsidP="00722C15">
            <w:pPr>
              <w:spacing w:line="276" w:lineRule="auto"/>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寻求技术许可合作</w:t>
            </w:r>
          </w:p>
        </w:tc>
      </w:tr>
      <w:tr w:rsidR="0025559A" w:rsidRPr="009A78D3" w:rsidTr="007E53BB">
        <w:trPr>
          <w:trHeight w:val="840"/>
          <w:jc w:val="center"/>
        </w:trPr>
        <w:tc>
          <w:tcPr>
            <w:tcW w:w="794" w:type="dxa"/>
            <w:vAlign w:val="center"/>
          </w:tcPr>
          <w:p w:rsidR="0025559A"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18</w:t>
            </w:r>
          </w:p>
        </w:tc>
        <w:tc>
          <w:tcPr>
            <w:tcW w:w="1277" w:type="dxa"/>
            <w:vAlign w:val="center"/>
          </w:tcPr>
          <w:p w:rsidR="0025559A"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人体工学床垫技术</w:t>
            </w:r>
          </w:p>
        </w:tc>
        <w:tc>
          <w:tcPr>
            <w:tcW w:w="4536" w:type="dxa"/>
            <w:vAlign w:val="center"/>
          </w:tcPr>
          <w:p w:rsidR="0025559A" w:rsidRPr="009A78D3" w:rsidRDefault="0025559A" w:rsidP="00722C15">
            <w:pPr>
              <w:spacing w:line="276" w:lineRule="auto"/>
              <w:jc w:val="left"/>
              <w:rPr>
                <w:rFonts w:asciiTheme="minorEastAsia" w:hAnsiTheme="minorEastAsia" w:cs="宋体"/>
                <w:b/>
                <w:bCs/>
                <w:sz w:val="24"/>
                <w:szCs w:val="24"/>
              </w:rPr>
            </w:pPr>
            <w:r w:rsidRPr="009A78D3">
              <w:rPr>
                <w:rFonts w:asciiTheme="minorEastAsia" w:hAnsiTheme="minorEastAsia" w:cs="宋体" w:hint="eastAsia"/>
                <w:b/>
                <w:bCs/>
                <w:sz w:val="24"/>
                <w:szCs w:val="24"/>
              </w:rPr>
              <w:t>矫形和治疗床垫可以减少晨痛，包括纤维肌痛</w:t>
            </w:r>
          </w:p>
          <w:p w:rsidR="0025559A" w:rsidRPr="009A78D3" w:rsidRDefault="0025559A" w:rsidP="00722C15">
            <w:pPr>
              <w:spacing w:line="276" w:lineRule="auto"/>
              <w:jc w:val="left"/>
              <w:rPr>
                <w:rFonts w:asciiTheme="minorEastAsia" w:hAnsiTheme="minorEastAsia"/>
                <w:sz w:val="24"/>
                <w:szCs w:val="24"/>
              </w:rPr>
            </w:pPr>
            <w:r w:rsidRPr="009A78D3">
              <w:rPr>
                <w:rFonts w:asciiTheme="minorEastAsia" w:hAnsiTheme="minorEastAsia" w:cs="宋体" w:hint="eastAsia"/>
                <w:sz w:val="24"/>
                <w:szCs w:val="24"/>
              </w:rPr>
              <w:t xml:space="preserve">    只要使用经临床测试的人体工学床垫就可以减轻许多这些常见问题。所有人体工学床垫均被专利授权，此技术可为您提供最佳的治疗效果。这种治疗专用床垫技术效果奇佳，目前在世界各地用于医院病人治疗和褥疮预防。</w:t>
            </w:r>
            <w:r w:rsidRPr="009A78D3">
              <w:rPr>
                <w:rFonts w:asciiTheme="minorEastAsia" w:hAnsiTheme="minorEastAsia" w:hint="eastAsia"/>
                <w:color w:val="000000"/>
                <w:sz w:val="24"/>
                <w:szCs w:val="24"/>
              </w:rPr>
              <w:t xml:space="preserve"> </w:t>
            </w:r>
          </w:p>
          <w:p w:rsidR="0025559A" w:rsidRPr="009A78D3" w:rsidRDefault="0025559A" w:rsidP="00722C15">
            <w:pPr>
              <w:spacing w:line="276" w:lineRule="auto"/>
              <w:jc w:val="left"/>
              <w:rPr>
                <w:rFonts w:asciiTheme="minorEastAsia" w:hAnsiTheme="minorEastAsia" w:cs="宋体"/>
                <w:b/>
                <w:bCs/>
                <w:sz w:val="24"/>
                <w:szCs w:val="24"/>
              </w:rPr>
            </w:pPr>
            <w:r w:rsidRPr="009A78D3">
              <w:rPr>
                <w:rFonts w:asciiTheme="minorEastAsia" w:hAnsiTheme="minorEastAsia" w:cs="宋体" w:hint="eastAsia"/>
                <w:b/>
                <w:bCs/>
                <w:sz w:val="24"/>
                <w:szCs w:val="24"/>
              </w:rPr>
              <w:t>矫形床垫支撑您的背部和身体</w:t>
            </w:r>
          </w:p>
          <w:p w:rsidR="0025559A" w:rsidRPr="009A78D3" w:rsidRDefault="0025559A" w:rsidP="00722C15">
            <w:pPr>
              <w:spacing w:line="276" w:lineRule="auto"/>
              <w:jc w:val="left"/>
              <w:rPr>
                <w:rFonts w:asciiTheme="minorEastAsia" w:hAnsiTheme="minorEastAsia" w:cs="宋体"/>
                <w:sz w:val="24"/>
                <w:szCs w:val="24"/>
              </w:rPr>
            </w:pPr>
            <w:r w:rsidRPr="009A78D3">
              <w:rPr>
                <w:rFonts w:asciiTheme="minorEastAsia" w:hAnsiTheme="minorEastAsia" w:cs="宋体" w:hint="eastAsia"/>
                <w:sz w:val="24"/>
                <w:szCs w:val="24"/>
              </w:rPr>
              <w:t xml:space="preserve">    在您入睡时为背部和脊柱提供适当的支撑是健康和无痛睡眠必不可少的。如果你目前有背部疼痛和不适，难以入睡或经常辗转反侧，是时候使用矫形床垫了。</w:t>
            </w:r>
          </w:p>
          <w:p w:rsidR="0025559A" w:rsidRPr="009A78D3" w:rsidRDefault="0025559A" w:rsidP="00722C15">
            <w:pPr>
              <w:spacing w:line="276" w:lineRule="auto"/>
              <w:jc w:val="left"/>
              <w:rPr>
                <w:rFonts w:asciiTheme="minorEastAsia" w:hAnsiTheme="minorEastAsia" w:cs="宋体"/>
                <w:b/>
                <w:bCs/>
                <w:sz w:val="24"/>
                <w:szCs w:val="24"/>
              </w:rPr>
            </w:pPr>
            <w:r w:rsidRPr="009A78D3">
              <w:rPr>
                <w:rFonts w:asciiTheme="minorEastAsia" w:hAnsiTheme="minorEastAsia" w:cs="宋体" w:hint="eastAsia"/>
                <w:b/>
                <w:bCs/>
                <w:sz w:val="24"/>
                <w:szCs w:val="24"/>
              </w:rPr>
              <w:t>人体工学床垫与医院使用的医学技术相同</w:t>
            </w:r>
          </w:p>
          <w:p w:rsidR="0025559A" w:rsidRPr="009A78D3" w:rsidRDefault="0025559A" w:rsidP="00722C15">
            <w:pPr>
              <w:spacing w:line="276" w:lineRule="auto"/>
              <w:rPr>
                <w:rFonts w:asciiTheme="minorEastAsia" w:hAnsiTheme="minorEastAsia" w:cs="宋体"/>
                <w:sz w:val="24"/>
                <w:szCs w:val="24"/>
              </w:rPr>
            </w:pPr>
            <w:r w:rsidRPr="009A78D3">
              <w:rPr>
                <w:rFonts w:asciiTheme="minorEastAsia" w:hAnsiTheme="minorEastAsia" w:hint="eastAsia"/>
                <w:sz w:val="24"/>
                <w:szCs w:val="24"/>
              </w:rPr>
              <w:t xml:space="preserve">    无论是外伤、手术、退化疾病，还是</w:t>
            </w:r>
            <w:r w:rsidRPr="009A78D3">
              <w:rPr>
                <w:rFonts w:asciiTheme="minorEastAsia" w:hAnsiTheme="minorEastAsia" w:hint="eastAsia"/>
                <w:sz w:val="24"/>
                <w:szCs w:val="24"/>
              </w:rPr>
              <w:lastRenderedPageBreak/>
              <w:t>初现衰老症状，很多人都需要不同程度的优质睡眠，而这只有矫形床垫可以提供。因为此睡床拥有与医院医疗床一样的技术，它能为你的背部和脊柱提供适当矫形支持。如果您因为普通床垫而饱受疼痛折磨，人体工学床垫将为您提供无痛睡眠方案。</w:t>
            </w:r>
          </w:p>
        </w:tc>
        <w:tc>
          <w:tcPr>
            <w:tcW w:w="1275" w:type="dxa"/>
            <w:vAlign w:val="center"/>
          </w:tcPr>
          <w:p w:rsidR="0025559A" w:rsidRPr="009A78D3" w:rsidRDefault="0025559A"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lastRenderedPageBreak/>
              <w:t>汇桔网代表</w:t>
            </w:r>
            <w:proofErr w:type="gramEnd"/>
            <w:r w:rsidRPr="009A78D3">
              <w:rPr>
                <w:rFonts w:asciiTheme="minorEastAsia" w:hAnsiTheme="minorEastAsia" w:cs="宋体" w:hint="eastAsia"/>
                <w:sz w:val="24"/>
                <w:szCs w:val="24"/>
              </w:rPr>
              <w:t>代为介绍</w:t>
            </w:r>
          </w:p>
        </w:tc>
        <w:tc>
          <w:tcPr>
            <w:tcW w:w="1276" w:type="dxa"/>
            <w:vAlign w:val="center"/>
          </w:tcPr>
          <w:p w:rsidR="0025559A"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科技服务行业</w:t>
            </w:r>
          </w:p>
        </w:tc>
        <w:tc>
          <w:tcPr>
            <w:tcW w:w="1304" w:type="dxa"/>
            <w:vAlign w:val="center"/>
          </w:tcPr>
          <w:p w:rsidR="0025559A" w:rsidRPr="009A78D3" w:rsidRDefault="0025559A"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寻求专利被许可方</w:t>
            </w:r>
          </w:p>
        </w:tc>
      </w:tr>
      <w:tr w:rsidR="0025559A" w:rsidRPr="009A78D3" w:rsidTr="007E53BB">
        <w:trPr>
          <w:trHeight w:val="840"/>
          <w:jc w:val="center"/>
        </w:trPr>
        <w:tc>
          <w:tcPr>
            <w:tcW w:w="794" w:type="dxa"/>
            <w:vAlign w:val="center"/>
          </w:tcPr>
          <w:p w:rsidR="0025559A"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lastRenderedPageBreak/>
              <w:t>19</w:t>
            </w:r>
          </w:p>
        </w:tc>
        <w:tc>
          <w:tcPr>
            <w:tcW w:w="1277" w:type="dxa"/>
            <w:vAlign w:val="center"/>
          </w:tcPr>
          <w:p w:rsidR="0025559A"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定向侵入检测报警装置</w:t>
            </w:r>
          </w:p>
        </w:tc>
        <w:tc>
          <w:tcPr>
            <w:tcW w:w="4536" w:type="dxa"/>
            <w:vAlign w:val="center"/>
          </w:tcPr>
          <w:p w:rsidR="0025559A" w:rsidRPr="009A78D3" w:rsidRDefault="0025559A" w:rsidP="00722C15">
            <w:pPr>
              <w:spacing w:line="276" w:lineRule="auto"/>
              <w:rPr>
                <w:rFonts w:asciiTheme="minorEastAsia" w:hAnsiTheme="minorEastAsia"/>
                <w:sz w:val="24"/>
                <w:szCs w:val="24"/>
              </w:rPr>
            </w:pPr>
            <w:r w:rsidRPr="009A78D3">
              <w:rPr>
                <w:rFonts w:asciiTheme="minorEastAsia" w:hAnsiTheme="minorEastAsia" w:hint="eastAsia"/>
                <w:sz w:val="24"/>
                <w:szCs w:val="24"/>
              </w:rPr>
              <w:t>定向侵入检测报警装置检测物体侵入门口，并使用红外发射器和探测器来探测移动方向。该装置的一种处理器控制着一种特殊方式，向IR发射器发送编码模块信号。因此IR接收器选择信号反应，确定其累计强度。2个发射器和一个接收器是探测移动方向的最小配置。处理器运行监测运算法则来确定探测强度，梯度和时间延迟，来计算物体的定向</w:t>
            </w:r>
            <w:proofErr w:type="gramStart"/>
            <w:r w:rsidRPr="009A78D3">
              <w:rPr>
                <w:rFonts w:asciiTheme="minorEastAsia" w:hAnsiTheme="minorEastAsia" w:hint="eastAsia"/>
                <w:sz w:val="24"/>
                <w:szCs w:val="24"/>
              </w:rPr>
              <w:t>”</w:t>
            </w:r>
            <w:proofErr w:type="gramEnd"/>
            <w:r w:rsidRPr="009A78D3">
              <w:rPr>
                <w:rFonts w:asciiTheme="minorEastAsia" w:hAnsiTheme="minorEastAsia" w:hint="eastAsia"/>
                <w:sz w:val="24"/>
                <w:szCs w:val="24"/>
              </w:rPr>
              <w:t>速度</w:t>
            </w:r>
            <w:proofErr w:type="gramStart"/>
            <w:r w:rsidRPr="009A78D3">
              <w:rPr>
                <w:rFonts w:asciiTheme="minorEastAsia" w:hAnsiTheme="minorEastAsia" w:hint="eastAsia"/>
                <w:sz w:val="24"/>
                <w:szCs w:val="24"/>
              </w:rPr>
              <w:t>”</w:t>
            </w:r>
            <w:proofErr w:type="gramEnd"/>
            <w:r w:rsidRPr="009A78D3">
              <w:rPr>
                <w:rFonts w:asciiTheme="minorEastAsia" w:hAnsiTheme="minorEastAsia" w:hint="eastAsia"/>
                <w:sz w:val="24"/>
                <w:szCs w:val="24"/>
              </w:rPr>
              <w:t>。该装置使用自动校准方法的电池供电，可以被设置为检测定向入侵任何门口的宽度。如果人类或宠物侵入装有该装置的房屋，根据物体如何侵入房屋，装置会发出相应警报。该系统可以与电脑软件配套，用户可以在电脑上安装监测系统。该发明的实际规格根据制造业不同而设定。</w:t>
            </w:r>
          </w:p>
        </w:tc>
        <w:tc>
          <w:tcPr>
            <w:tcW w:w="1275" w:type="dxa"/>
            <w:vAlign w:val="center"/>
          </w:tcPr>
          <w:p w:rsidR="0025559A" w:rsidRPr="009A78D3" w:rsidRDefault="0025559A" w:rsidP="00722C15">
            <w:pPr>
              <w:spacing w:line="276" w:lineRule="auto"/>
              <w:jc w:val="center"/>
              <w:rPr>
                <w:rFonts w:asciiTheme="minorEastAsia" w:hAnsiTheme="minorEastAsia" w:cs="宋体"/>
                <w:sz w:val="24"/>
                <w:szCs w:val="24"/>
              </w:rPr>
            </w:pPr>
            <w:proofErr w:type="gramStart"/>
            <w:r w:rsidRPr="009A78D3">
              <w:rPr>
                <w:rFonts w:asciiTheme="minorEastAsia" w:hAnsiTheme="minorEastAsia" w:cs="宋体" w:hint="eastAsia"/>
                <w:sz w:val="24"/>
                <w:szCs w:val="24"/>
              </w:rPr>
              <w:t>汇桔网代表</w:t>
            </w:r>
            <w:proofErr w:type="gramEnd"/>
            <w:r w:rsidRPr="009A78D3">
              <w:rPr>
                <w:rFonts w:asciiTheme="minorEastAsia" w:hAnsiTheme="minorEastAsia" w:cs="宋体" w:hint="eastAsia"/>
                <w:sz w:val="24"/>
                <w:szCs w:val="24"/>
              </w:rPr>
              <w:t>代为介绍</w:t>
            </w:r>
          </w:p>
        </w:tc>
        <w:tc>
          <w:tcPr>
            <w:tcW w:w="1276" w:type="dxa"/>
            <w:vAlign w:val="center"/>
          </w:tcPr>
          <w:p w:rsidR="0025559A" w:rsidRPr="009A78D3" w:rsidRDefault="0025559A" w:rsidP="00722C15">
            <w:pPr>
              <w:spacing w:line="276" w:lineRule="auto"/>
              <w:jc w:val="center"/>
              <w:rPr>
                <w:rFonts w:asciiTheme="minorEastAsia" w:hAnsiTheme="minorEastAsia" w:cs="宋体"/>
                <w:sz w:val="24"/>
                <w:szCs w:val="24"/>
              </w:rPr>
            </w:pPr>
            <w:r w:rsidRPr="009A78D3">
              <w:rPr>
                <w:rFonts w:asciiTheme="minorEastAsia" w:hAnsiTheme="minorEastAsia" w:cs="宋体" w:hint="eastAsia"/>
                <w:sz w:val="24"/>
                <w:szCs w:val="24"/>
              </w:rPr>
              <w:t>安全防护</w:t>
            </w:r>
          </w:p>
        </w:tc>
        <w:tc>
          <w:tcPr>
            <w:tcW w:w="1304" w:type="dxa"/>
            <w:vAlign w:val="center"/>
          </w:tcPr>
          <w:p w:rsidR="0025559A" w:rsidRPr="009A78D3" w:rsidRDefault="0025559A" w:rsidP="00722C15">
            <w:pPr>
              <w:spacing w:line="276" w:lineRule="auto"/>
              <w:jc w:val="center"/>
              <w:rPr>
                <w:rFonts w:asciiTheme="minorEastAsia" w:hAnsiTheme="minorEastAsia" w:cs="宋体"/>
                <w:color w:val="FF0000"/>
                <w:sz w:val="24"/>
                <w:szCs w:val="24"/>
              </w:rPr>
            </w:pPr>
            <w:r w:rsidRPr="009A78D3">
              <w:rPr>
                <w:rFonts w:asciiTheme="minorEastAsia" w:hAnsiTheme="minorEastAsia" w:cs="宋体" w:hint="eastAsia"/>
                <w:color w:val="FF0000"/>
                <w:sz w:val="24"/>
                <w:szCs w:val="24"/>
              </w:rPr>
              <w:t>寻求专利许可或专利转让合作</w:t>
            </w:r>
          </w:p>
        </w:tc>
      </w:tr>
    </w:tbl>
    <w:p w:rsidR="007538B2" w:rsidRPr="009A78D3" w:rsidRDefault="007538B2" w:rsidP="00722C15">
      <w:pPr>
        <w:spacing w:line="276" w:lineRule="auto"/>
        <w:rPr>
          <w:rFonts w:asciiTheme="minorEastAsia" w:hAnsiTheme="minorEastAsia" w:cs="Times New Roman"/>
          <w:b/>
          <w:bCs/>
          <w:sz w:val="24"/>
          <w:szCs w:val="24"/>
        </w:rPr>
      </w:pPr>
    </w:p>
    <w:p w:rsidR="007538B2" w:rsidRPr="009A78D3" w:rsidRDefault="00851C20" w:rsidP="00722C15">
      <w:pPr>
        <w:widowControl/>
        <w:spacing w:line="276" w:lineRule="auto"/>
        <w:jc w:val="left"/>
        <w:rPr>
          <w:rFonts w:asciiTheme="minorEastAsia" w:hAnsiTheme="minorEastAsia"/>
          <w:sz w:val="24"/>
          <w:szCs w:val="24"/>
        </w:rPr>
      </w:pPr>
      <w:r w:rsidRPr="009A78D3">
        <w:rPr>
          <w:rFonts w:asciiTheme="minorEastAsia" w:hAnsiTheme="minorEastAsia" w:hint="eastAsia"/>
          <w:sz w:val="24"/>
          <w:szCs w:val="24"/>
        </w:rPr>
        <w:br w:type="page"/>
      </w:r>
    </w:p>
    <w:p w:rsidR="007538B2" w:rsidRPr="009A78D3" w:rsidRDefault="007538B2" w:rsidP="00722C15">
      <w:pPr>
        <w:spacing w:line="276" w:lineRule="auto"/>
        <w:rPr>
          <w:rFonts w:asciiTheme="minorEastAsia" w:hAnsiTheme="minorEastAsia"/>
          <w:sz w:val="24"/>
          <w:szCs w:val="24"/>
        </w:rPr>
      </w:pPr>
    </w:p>
    <w:p w:rsidR="007538B2" w:rsidRPr="009A78D3" w:rsidRDefault="00851C20" w:rsidP="00722C15">
      <w:pPr>
        <w:spacing w:line="276" w:lineRule="auto"/>
        <w:rPr>
          <w:rFonts w:asciiTheme="minorEastAsia" w:hAnsiTheme="minorEastAsia"/>
          <w:sz w:val="24"/>
          <w:szCs w:val="24"/>
        </w:rPr>
      </w:pPr>
      <w:r w:rsidRPr="009A78D3">
        <w:rPr>
          <w:rFonts w:asciiTheme="minorEastAsia" w:hAnsiTheme="minorEastAsia" w:cs="Times New Roman" w:hint="eastAsia"/>
          <w:b/>
          <w:bCs/>
          <w:sz w:val="24"/>
          <w:szCs w:val="24"/>
        </w:rPr>
        <w:t>【海外来访机构简介】</w:t>
      </w:r>
    </w:p>
    <w:p w:rsidR="007538B2" w:rsidRPr="009A78D3" w:rsidRDefault="007538B2" w:rsidP="00722C15">
      <w:pPr>
        <w:spacing w:line="276" w:lineRule="auto"/>
        <w:rPr>
          <w:rFonts w:asciiTheme="minorEastAsia" w:hAnsiTheme="minorEastAsia"/>
          <w:sz w:val="24"/>
          <w:szCs w:val="24"/>
        </w:rPr>
      </w:pPr>
    </w:p>
    <w:tbl>
      <w:tblPr>
        <w:tblW w:w="8931" w:type="dxa"/>
        <w:tblInd w:w="-269" w:type="dxa"/>
        <w:tblLayout w:type="fixed"/>
        <w:tblCellMar>
          <w:top w:w="15" w:type="dxa"/>
          <w:left w:w="15" w:type="dxa"/>
          <w:bottom w:w="15" w:type="dxa"/>
          <w:right w:w="15" w:type="dxa"/>
        </w:tblCellMar>
        <w:tblLook w:val="04A0" w:firstRow="1" w:lastRow="0" w:firstColumn="1" w:lastColumn="0" w:noHBand="0" w:noVBand="1"/>
      </w:tblPr>
      <w:tblGrid>
        <w:gridCol w:w="1947"/>
        <w:gridCol w:w="6984"/>
      </w:tblGrid>
      <w:tr w:rsidR="007538B2" w:rsidRPr="009A78D3" w:rsidTr="00984698">
        <w:trPr>
          <w:trHeight w:val="620"/>
        </w:trPr>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简称</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简介</w:t>
            </w:r>
          </w:p>
        </w:tc>
      </w:tr>
      <w:tr w:rsidR="007538B2" w:rsidRPr="009A78D3" w:rsidTr="00984698">
        <w:trPr>
          <w:trHeight w:val="1370"/>
        </w:trPr>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微软雅黑"/>
                <w:color w:val="000000"/>
                <w:kern w:val="0"/>
                <w:sz w:val="24"/>
                <w:szCs w:val="24"/>
              </w:rPr>
            </w:pPr>
            <w:r w:rsidRPr="009A78D3">
              <w:rPr>
                <w:rFonts w:asciiTheme="minorEastAsia" w:hAnsiTheme="minorEastAsia" w:cs="Times New Roman" w:hint="eastAsia"/>
                <w:sz w:val="24"/>
                <w:szCs w:val="24"/>
              </w:rPr>
              <w:t>APIO</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color w:val="000000"/>
                <w:sz w:val="24"/>
                <w:szCs w:val="24"/>
              </w:rPr>
            </w:pPr>
            <w:r w:rsidRPr="009A78D3">
              <w:rPr>
                <w:rFonts w:asciiTheme="minorEastAsia" w:hAnsiTheme="minorEastAsia" w:cs="宋体" w:hint="eastAsia"/>
                <w:color w:val="000000"/>
                <w:kern w:val="0"/>
                <w:sz w:val="24"/>
                <w:szCs w:val="24"/>
              </w:rPr>
              <w:t xml:space="preserve">    </w:t>
            </w:r>
            <w:r w:rsidRPr="009A78D3">
              <w:rPr>
                <w:rFonts w:asciiTheme="minorEastAsia" w:hAnsiTheme="minorEastAsia" w:cs="宋体" w:hint="eastAsia"/>
                <w:sz w:val="24"/>
                <w:szCs w:val="24"/>
              </w:rPr>
              <w:t>APIO为创新的早期阶段制定商业化的策略。在运营，知识产权管理，商机评估，营销，许可和行业的合作伙伴关系这些方面，APIO的团队在创新转移方面具有广泛的专业知识。</w:t>
            </w:r>
          </w:p>
        </w:tc>
      </w:tr>
      <w:tr w:rsidR="007538B2" w:rsidRPr="009A78D3" w:rsidTr="00984698">
        <w:trPr>
          <w:trHeight w:val="1470"/>
        </w:trPr>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sz w:val="24"/>
                <w:szCs w:val="24"/>
              </w:rPr>
            </w:pPr>
            <w:r w:rsidRPr="009A78D3">
              <w:rPr>
                <w:rFonts w:asciiTheme="minorEastAsia" w:hAnsiTheme="minorEastAsia" w:hint="eastAsia"/>
                <w:sz w:val="24"/>
                <w:szCs w:val="24"/>
              </w:rPr>
              <w:t>虎威国际</w:t>
            </w:r>
          </w:p>
          <w:p w:rsidR="007538B2" w:rsidRPr="009A78D3" w:rsidRDefault="00851C20" w:rsidP="00722C15">
            <w:pPr>
              <w:widowControl/>
              <w:spacing w:line="276" w:lineRule="auto"/>
              <w:jc w:val="center"/>
              <w:textAlignment w:val="center"/>
              <w:rPr>
                <w:rFonts w:asciiTheme="minorEastAsia" w:hAnsiTheme="minorEastAsia" w:cs="Times New Roman"/>
                <w:sz w:val="24"/>
                <w:szCs w:val="24"/>
              </w:rPr>
            </w:pPr>
            <w:r w:rsidRPr="009A78D3">
              <w:rPr>
                <w:rFonts w:asciiTheme="minorEastAsia" w:hAnsiTheme="minorEastAsia" w:hint="eastAsia"/>
                <w:sz w:val="24"/>
                <w:szCs w:val="24"/>
              </w:rPr>
              <w:t>专利事务所</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color w:val="000000"/>
                <w:kern w:val="0"/>
                <w:sz w:val="24"/>
                <w:szCs w:val="24"/>
              </w:rPr>
            </w:pPr>
            <w:r w:rsidRPr="009A78D3">
              <w:rPr>
                <w:rFonts w:asciiTheme="minorEastAsia" w:hAnsiTheme="minorEastAsia" w:cs="宋体" w:hint="eastAsia"/>
                <w:sz w:val="24"/>
                <w:szCs w:val="24"/>
              </w:rPr>
              <w:t xml:space="preserve">    虎威国际专利事务所是一家主要从事日本专利撰写、日本专利的答复审查意见、日本专利的无效、日本专利的诉讼等专利事务的日本律所。</w:t>
            </w:r>
            <w:proofErr w:type="gramStart"/>
            <w:r w:rsidRPr="009A78D3">
              <w:rPr>
                <w:rFonts w:asciiTheme="minorEastAsia" w:hAnsiTheme="minorEastAsia" w:cs="宋体" w:hint="eastAsia"/>
                <w:sz w:val="24"/>
                <w:szCs w:val="24"/>
              </w:rPr>
              <w:t>该律所</w:t>
            </w:r>
            <w:proofErr w:type="gramEnd"/>
            <w:r w:rsidRPr="009A78D3">
              <w:rPr>
                <w:rFonts w:asciiTheme="minorEastAsia" w:hAnsiTheme="minorEastAsia" w:cs="宋体" w:hint="eastAsia"/>
                <w:sz w:val="24"/>
                <w:szCs w:val="24"/>
              </w:rPr>
              <w:t>还经营中日专利买卖和技术转移业务。</w:t>
            </w:r>
          </w:p>
        </w:tc>
      </w:tr>
      <w:tr w:rsidR="007538B2" w:rsidRPr="009A78D3" w:rsidTr="00984698">
        <w:trPr>
          <w:trHeight w:val="3300"/>
        </w:trPr>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sz w:val="24"/>
                <w:szCs w:val="24"/>
              </w:rPr>
            </w:pPr>
            <w:r w:rsidRPr="009A78D3">
              <w:rPr>
                <w:rFonts w:asciiTheme="minorEastAsia" w:hAnsiTheme="minorEastAsia" w:cs="Times New Roman" w:hint="eastAsia"/>
                <w:sz w:val="24"/>
                <w:szCs w:val="24"/>
              </w:rPr>
              <w:t>Foresight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xml:space="preserve">    Foresight公司，成立于1980年，是技术转移、市场研究和商品化支撑的领导者。 在过去35年的行业内，Foresight公司是世界上引领企业技术转移和商品化的专家之一。顾客包括大学、企业、政府代理商和实验室、基金会，还有世界各地的投资者。Foresight 公司的顾问在各行业中都有擅长的专业范围。</w:t>
            </w:r>
          </w:p>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xml:space="preserve">    每年执行超过600项技术，Foresight 公司有着广泛的服务范围适用于不同需求的客户；有着经验丰富的专业人士专长于商品化，在产品发展的研究、技术转移、许可、开放创新、尽职调查、创业活动和行业发展方面有丰富的经验。</w:t>
            </w:r>
          </w:p>
        </w:tc>
      </w:tr>
    </w:tbl>
    <w:p w:rsidR="007538B2" w:rsidRPr="009A78D3" w:rsidRDefault="007538B2"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984698" w:rsidRPr="009A78D3" w:rsidRDefault="00984698" w:rsidP="00722C15">
      <w:pPr>
        <w:widowControl/>
        <w:spacing w:line="276" w:lineRule="auto"/>
        <w:jc w:val="left"/>
        <w:textAlignment w:val="center"/>
        <w:rPr>
          <w:rFonts w:asciiTheme="minorEastAsia" w:hAnsiTheme="minorEastAsia"/>
          <w:sz w:val="24"/>
          <w:szCs w:val="24"/>
        </w:rPr>
      </w:pPr>
    </w:p>
    <w:p w:rsidR="007538B2" w:rsidRPr="009A78D3" w:rsidRDefault="00851C20" w:rsidP="00722C15">
      <w:pPr>
        <w:spacing w:line="276" w:lineRule="auto"/>
        <w:rPr>
          <w:rFonts w:asciiTheme="minorEastAsia" w:hAnsiTheme="minorEastAsia"/>
          <w:sz w:val="24"/>
          <w:szCs w:val="24"/>
        </w:rPr>
      </w:pPr>
      <w:r w:rsidRPr="009A78D3">
        <w:rPr>
          <w:rFonts w:asciiTheme="minorEastAsia" w:hAnsiTheme="minorEastAsia" w:cs="Times New Roman" w:hint="eastAsia"/>
          <w:b/>
          <w:bCs/>
          <w:sz w:val="24"/>
          <w:szCs w:val="24"/>
        </w:rPr>
        <w:t>【海外来访专家简介】</w:t>
      </w:r>
    </w:p>
    <w:p w:rsidR="007538B2" w:rsidRPr="009A78D3" w:rsidRDefault="007538B2" w:rsidP="00722C15">
      <w:pPr>
        <w:widowControl/>
        <w:spacing w:line="276" w:lineRule="auto"/>
        <w:jc w:val="left"/>
        <w:textAlignment w:val="center"/>
        <w:rPr>
          <w:rFonts w:asciiTheme="minorEastAsia" w:hAnsiTheme="minorEastAsia"/>
          <w:sz w:val="24"/>
          <w:szCs w:val="24"/>
        </w:rPr>
      </w:pPr>
    </w:p>
    <w:p w:rsidR="007538B2" w:rsidRPr="009A78D3" w:rsidRDefault="007538B2" w:rsidP="00722C15">
      <w:pPr>
        <w:spacing w:line="276" w:lineRule="auto"/>
        <w:rPr>
          <w:rFonts w:asciiTheme="minorEastAsia" w:hAnsiTheme="minorEastAsia"/>
          <w:sz w:val="24"/>
          <w:szCs w:val="24"/>
        </w:rPr>
      </w:pPr>
    </w:p>
    <w:tbl>
      <w:tblPr>
        <w:tblW w:w="9924" w:type="dxa"/>
        <w:jc w:val="center"/>
        <w:tblInd w:w="-978" w:type="dxa"/>
        <w:tblLayout w:type="fixed"/>
        <w:tblCellMar>
          <w:top w:w="15" w:type="dxa"/>
          <w:left w:w="15" w:type="dxa"/>
          <w:bottom w:w="15" w:type="dxa"/>
          <w:right w:w="15" w:type="dxa"/>
        </w:tblCellMar>
        <w:tblLook w:val="04A0" w:firstRow="1" w:lastRow="0" w:firstColumn="1" w:lastColumn="0" w:noHBand="0" w:noVBand="1"/>
      </w:tblPr>
      <w:tblGrid>
        <w:gridCol w:w="1008"/>
        <w:gridCol w:w="1828"/>
        <w:gridCol w:w="1686"/>
        <w:gridCol w:w="709"/>
        <w:gridCol w:w="4693"/>
      </w:tblGrid>
      <w:tr w:rsidR="007538B2" w:rsidRPr="009A78D3" w:rsidTr="00984698">
        <w:trPr>
          <w:trHeight w:val="665"/>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姓名</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照片</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公司及职位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常住地</w:t>
            </w:r>
          </w:p>
        </w:tc>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spacing w:line="276" w:lineRule="auto"/>
              <w:jc w:val="center"/>
              <w:rPr>
                <w:rFonts w:asciiTheme="minorEastAsia" w:hAnsiTheme="minorEastAsia"/>
                <w:b/>
                <w:bCs/>
                <w:sz w:val="24"/>
                <w:szCs w:val="24"/>
              </w:rPr>
            </w:pPr>
            <w:r w:rsidRPr="009A78D3">
              <w:rPr>
                <w:rFonts w:asciiTheme="minorEastAsia" w:hAnsiTheme="minorEastAsia" w:hint="eastAsia"/>
                <w:b/>
                <w:bCs/>
                <w:sz w:val="24"/>
                <w:szCs w:val="24"/>
              </w:rPr>
              <w:t>能力背景及服务能力</w:t>
            </w:r>
          </w:p>
        </w:tc>
      </w:tr>
      <w:tr w:rsidR="007538B2" w:rsidRPr="009A78D3" w:rsidTr="00984698">
        <w:trPr>
          <w:trHeight w:val="2745"/>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Times New Roman"/>
                <w:sz w:val="24"/>
                <w:szCs w:val="24"/>
              </w:rPr>
            </w:pPr>
            <w:r w:rsidRPr="009A78D3">
              <w:rPr>
                <w:rFonts w:asciiTheme="minorEastAsia" w:hAnsiTheme="minorEastAsia" w:cs="Times New Roman" w:hint="eastAsia"/>
                <w:sz w:val="24"/>
                <w:szCs w:val="24"/>
              </w:rPr>
              <w:t xml:space="preserve">Phyllis </w:t>
            </w:r>
            <w:proofErr w:type="spellStart"/>
            <w:r w:rsidRPr="009A78D3">
              <w:rPr>
                <w:rFonts w:asciiTheme="minorEastAsia" w:hAnsiTheme="minorEastAsia" w:cs="Times New Roman" w:hint="eastAsia"/>
                <w:sz w:val="24"/>
                <w:szCs w:val="24"/>
              </w:rPr>
              <w:t>Speser</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8B2" w:rsidRPr="009A78D3" w:rsidRDefault="00851C20" w:rsidP="00722C15">
            <w:pPr>
              <w:widowControl/>
              <w:spacing w:line="276" w:lineRule="auto"/>
              <w:textAlignment w:val="bottom"/>
              <w:rPr>
                <w:rFonts w:asciiTheme="minorEastAsia" w:hAnsiTheme="minorEastAsia" w:cs="微软雅黑"/>
                <w:color w:val="000000"/>
                <w:sz w:val="24"/>
                <w:szCs w:val="24"/>
              </w:rPr>
            </w:pPr>
            <w:r w:rsidRPr="009A78D3">
              <w:rPr>
                <w:rFonts w:asciiTheme="minorEastAsia" w:hAnsiTheme="minorEastAsia" w:cs="微软雅黑" w:hint="eastAsia"/>
                <w:noProof/>
                <w:color w:val="000000"/>
                <w:kern w:val="0"/>
                <w:sz w:val="24"/>
                <w:szCs w:val="24"/>
              </w:rPr>
              <w:drawing>
                <wp:anchor distT="0" distB="0" distL="114300" distR="114300" simplePos="0" relativeHeight="251652096" behindDoc="0" locked="0" layoutInCell="1" allowOverlap="1" wp14:anchorId="4104D7EF" wp14:editId="71DCC5E3">
                  <wp:simplePos x="0" y="0"/>
                  <wp:positionH relativeFrom="column">
                    <wp:posOffset>-80645</wp:posOffset>
                  </wp:positionH>
                  <wp:positionV relativeFrom="paragraph">
                    <wp:posOffset>-1424940</wp:posOffset>
                  </wp:positionV>
                  <wp:extent cx="1098550" cy="1238885"/>
                  <wp:effectExtent l="0" t="0" r="6350" b="18415"/>
                  <wp:wrapSquare wrapText="bothSides"/>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9" r:link="rId10" cstate="print"/>
                          <a:stretch>
                            <a:fillRect/>
                          </a:stretch>
                        </pic:blipFill>
                        <pic:spPr>
                          <a:xfrm>
                            <a:off x="0" y="0"/>
                            <a:ext cx="1098550" cy="1238885"/>
                          </a:xfrm>
                          <a:prstGeom prst="rect">
                            <a:avLst/>
                          </a:prstGeom>
                          <a:noFill/>
                          <a:ln w="9525">
                            <a:noFill/>
                          </a:ln>
                        </pic:spPr>
                      </pic:pic>
                    </a:graphicData>
                  </a:graphic>
                </wp:anchor>
              </w:drawing>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Foresight Science &amp; Technology联合创始人兼CEO</w:t>
            </w:r>
          </w:p>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br/>
              <w:t>美国大学技术转移经理人协会AUTM的前副总裁及董事会成员（2011~2013）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宋体"/>
                <w:sz w:val="24"/>
                <w:szCs w:val="24"/>
              </w:rPr>
            </w:pPr>
            <w:r w:rsidRPr="009A78D3">
              <w:rPr>
                <w:rFonts w:asciiTheme="minorEastAsia" w:hAnsiTheme="minorEastAsia" w:cs="宋体" w:hint="eastAsia"/>
                <w:sz w:val="24"/>
                <w:szCs w:val="24"/>
              </w:rPr>
              <w:t>美国</w:t>
            </w:r>
          </w:p>
        </w:tc>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xml:space="preserve">   Dr. </w:t>
            </w:r>
            <w:proofErr w:type="spellStart"/>
            <w:r w:rsidRPr="009A78D3">
              <w:rPr>
                <w:rFonts w:asciiTheme="minorEastAsia" w:hAnsiTheme="minorEastAsia" w:cs="宋体" w:hint="eastAsia"/>
                <w:sz w:val="24"/>
                <w:szCs w:val="24"/>
              </w:rPr>
              <w:t>Speser</w:t>
            </w:r>
            <w:proofErr w:type="spellEnd"/>
            <w:r w:rsidRPr="009A78D3">
              <w:rPr>
                <w:rFonts w:asciiTheme="minorEastAsia" w:hAnsiTheme="minorEastAsia" w:cs="宋体" w:hint="eastAsia"/>
                <w:sz w:val="24"/>
                <w:szCs w:val="24"/>
              </w:rPr>
              <w:t>支持了成千上万横跨科学与技术领域的技术的商业化运作，效力过的对象有大公司，中小企业（包括SBIR和STTR奖）、大学、政府机构、基金会、全球各地研究机构。斯宾塞博士曾效力于商业化的农业部SBIR计划支持项目，美国国家科学基金会、美国国立卫生研究院、能源部、环保署计划主任和海军，作为罗德岛大学的技术转移办公室临时主任。</w:t>
            </w:r>
          </w:p>
          <w:p w:rsidR="007538B2" w:rsidRPr="009A78D3" w:rsidRDefault="00851C20" w:rsidP="00722C15">
            <w:pPr>
              <w:widowControl/>
              <w:spacing w:line="276" w:lineRule="auto"/>
              <w:jc w:val="left"/>
              <w:textAlignment w:val="center"/>
              <w:rPr>
                <w:rFonts w:asciiTheme="minorEastAsia" w:hAnsiTheme="minorEastAsia" w:cs="微软雅黑"/>
                <w:color w:val="000000"/>
                <w:kern w:val="0"/>
                <w:sz w:val="24"/>
                <w:szCs w:val="24"/>
              </w:rPr>
            </w:pPr>
            <w:r w:rsidRPr="009A78D3">
              <w:rPr>
                <w:rFonts w:asciiTheme="minorEastAsia" w:hAnsiTheme="minorEastAsia" w:cs="宋体" w:hint="eastAsia"/>
                <w:sz w:val="24"/>
                <w:szCs w:val="24"/>
              </w:rPr>
              <w:t xml:space="preserve">   Dr. </w:t>
            </w:r>
            <w:proofErr w:type="spellStart"/>
            <w:r w:rsidRPr="009A78D3">
              <w:rPr>
                <w:rFonts w:asciiTheme="minorEastAsia" w:hAnsiTheme="minorEastAsia" w:cs="宋体" w:hint="eastAsia"/>
                <w:sz w:val="24"/>
                <w:szCs w:val="24"/>
              </w:rPr>
              <w:t>Speser</w:t>
            </w:r>
            <w:proofErr w:type="spellEnd"/>
            <w:r w:rsidRPr="009A78D3">
              <w:rPr>
                <w:rFonts w:asciiTheme="minorEastAsia" w:hAnsiTheme="minorEastAsia" w:cs="宋体" w:hint="eastAsia"/>
                <w:sz w:val="24"/>
                <w:szCs w:val="24"/>
              </w:rPr>
              <w:t>经常做关于是技术转让，商业化，高技术经济的发展，以及科学和技术政策的演讲，还参加过在美国、智利和南非的专业会议。他是畅销书《The Art and Science of Technology Transfer》的作者（威利和儿子，2006），以及即将在这个冬天由商业专家出版社出版的一本书的共同作者。</w:t>
            </w:r>
          </w:p>
        </w:tc>
      </w:tr>
      <w:tr w:rsidR="007538B2" w:rsidRPr="009A78D3" w:rsidTr="00984698">
        <w:trPr>
          <w:trHeight w:val="3045"/>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Times New Roman"/>
                <w:sz w:val="24"/>
                <w:szCs w:val="24"/>
              </w:rPr>
            </w:pPr>
            <w:r w:rsidRPr="009A78D3">
              <w:rPr>
                <w:rFonts w:asciiTheme="minorEastAsia" w:hAnsiTheme="minorEastAsia" w:cs="Times New Roman" w:hint="eastAsia"/>
                <w:sz w:val="24"/>
                <w:szCs w:val="24"/>
              </w:rPr>
              <w:t>Thomas Abbott</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8B2" w:rsidRPr="009A78D3" w:rsidRDefault="00851C20" w:rsidP="00722C15">
            <w:pPr>
              <w:widowControl/>
              <w:spacing w:line="276" w:lineRule="auto"/>
              <w:jc w:val="center"/>
              <w:textAlignment w:val="bottom"/>
              <w:rPr>
                <w:rFonts w:asciiTheme="minorEastAsia" w:hAnsiTheme="minorEastAsia" w:cs="微软雅黑"/>
                <w:color w:val="000000"/>
                <w:sz w:val="24"/>
                <w:szCs w:val="24"/>
              </w:rPr>
            </w:pPr>
            <w:r w:rsidRPr="009A78D3">
              <w:rPr>
                <w:rFonts w:asciiTheme="minorEastAsia" w:hAnsiTheme="minorEastAsia" w:cs="微软雅黑" w:hint="eastAsia"/>
                <w:noProof/>
                <w:color w:val="000000"/>
                <w:kern w:val="0"/>
                <w:sz w:val="24"/>
                <w:szCs w:val="24"/>
              </w:rPr>
              <w:drawing>
                <wp:anchor distT="0" distB="0" distL="114300" distR="114300" simplePos="0" relativeHeight="251656192" behindDoc="0" locked="0" layoutInCell="1" allowOverlap="1" wp14:anchorId="3DA07C0B" wp14:editId="50C37F19">
                  <wp:simplePos x="0" y="0"/>
                  <wp:positionH relativeFrom="column">
                    <wp:posOffset>-4445</wp:posOffset>
                  </wp:positionH>
                  <wp:positionV relativeFrom="paragraph">
                    <wp:posOffset>-1325880</wp:posOffset>
                  </wp:positionV>
                  <wp:extent cx="1073150" cy="1182370"/>
                  <wp:effectExtent l="0" t="0" r="12700" b="17780"/>
                  <wp:wrapSquare wrapText="bothSides"/>
                  <wp:docPr id="8"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7"/>
                          <pic:cNvPicPr>
                            <a:picLocks noChangeAspect="1"/>
                          </pic:cNvPicPr>
                        </pic:nvPicPr>
                        <pic:blipFill>
                          <a:blip r:embed="rId11" r:link="rId10" cstate="print"/>
                          <a:stretch>
                            <a:fillRect/>
                          </a:stretch>
                        </pic:blipFill>
                        <pic:spPr>
                          <a:xfrm>
                            <a:off x="0" y="0"/>
                            <a:ext cx="1073150" cy="1182370"/>
                          </a:xfrm>
                          <a:prstGeom prst="rect">
                            <a:avLst/>
                          </a:prstGeom>
                          <a:noFill/>
                          <a:ln w="9525">
                            <a:noFill/>
                          </a:ln>
                        </pic:spPr>
                      </pic:pic>
                    </a:graphicData>
                  </a:graphic>
                </wp:anchor>
              </w:drawing>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微软雅黑"/>
                <w:color w:val="000000"/>
                <w:sz w:val="24"/>
                <w:szCs w:val="24"/>
              </w:rPr>
            </w:pPr>
            <w:r w:rsidRPr="009A78D3">
              <w:rPr>
                <w:rFonts w:asciiTheme="minorEastAsia" w:hAnsiTheme="minorEastAsia" w:cs="宋体" w:hint="eastAsia"/>
                <w:sz w:val="24"/>
                <w:szCs w:val="24"/>
              </w:rPr>
              <w:t>Foresight Science &amp; Technology亚洲业务发展总监（会说中文）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微软雅黑"/>
                <w:color w:val="000000"/>
                <w:sz w:val="24"/>
                <w:szCs w:val="24"/>
              </w:rPr>
            </w:pPr>
            <w:r w:rsidRPr="009A78D3">
              <w:rPr>
                <w:rFonts w:asciiTheme="minorEastAsia" w:hAnsiTheme="minorEastAsia" w:cs="微软雅黑" w:hint="eastAsia"/>
                <w:color w:val="000000"/>
                <w:kern w:val="0"/>
                <w:sz w:val="24"/>
                <w:szCs w:val="24"/>
              </w:rPr>
              <w:t>新加坡</w:t>
            </w:r>
          </w:p>
        </w:tc>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xml:space="preserve">    Abbott先生是100位顾问专家团的带领人。这些专家在技术评估，专业人才市场研究、知识产权资产评估、知识产权管理、业务发展规划，以及其他形式的技术和知识产权咨询这些方面有专业技能的。他与不少公共和私人组织共事过，致力于发展技术评估、技术转移、知识产权管理、培训课程和其他相关课程，艾伯特先生有能力帮你解决你的需要。不管你是来自中小企业，研究机构，还是投资公司的远见，都会有所帮助。</w:t>
            </w:r>
          </w:p>
          <w:p w:rsidR="007538B2" w:rsidRPr="009A78D3" w:rsidRDefault="00851C20" w:rsidP="00722C15">
            <w:pPr>
              <w:widowControl/>
              <w:spacing w:line="276" w:lineRule="auto"/>
              <w:jc w:val="left"/>
              <w:textAlignment w:val="center"/>
              <w:rPr>
                <w:rFonts w:asciiTheme="minorEastAsia" w:hAnsiTheme="minorEastAsia" w:cs="微软雅黑"/>
                <w:color w:val="000000"/>
                <w:kern w:val="0"/>
                <w:sz w:val="24"/>
                <w:szCs w:val="24"/>
              </w:rPr>
            </w:pPr>
            <w:r w:rsidRPr="009A78D3">
              <w:rPr>
                <w:rFonts w:asciiTheme="minorEastAsia" w:hAnsiTheme="minorEastAsia" w:cs="宋体" w:hint="eastAsia"/>
                <w:sz w:val="24"/>
                <w:szCs w:val="24"/>
              </w:rPr>
              <w:t xml:space="preserve">   Foresight公司的顾问来自学术界和行业，并拥有许多不同领域的专业知识，包括：生命科学，医疗设备，化学品和先进材料，环境（水，空气，和废物），电气和电子，</w:t>
            </w:r>
            <w:r w:rsidRPr="009A78D3">
              <w:rPr>
                <w:rFonts w:asciiTheme="minorEastAsia" w:hAnsiTheme="minorEastAsia" w:cs="宋体" w:hint="eastAsia"/>
                <w:sz w:val="24"/>
                <w:szCs w:val="24"/>
              </w:rPr>
              <w:lastRenderedPageBreak/>
              <w:t>光学，光电子，国防和安全，航空，航空航天，交通，信息技术，电信，硬件和软件，教育，社会和行为科学，能源和可再生能源。</w:t>
            </w:r>
          </w:p>
        </w:tc>
      </w:tr>
      <w:tr w:rsidR="007538B2" w:rsidRPr="009A78D3" w:rsidTr="00984698">
        <w:trPr>
          <w:trHeight w:val="3360"/>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微软雅黑"/>
                <w:color w:val="000000"/>
                <w:sz w:val="24"/>
                <w:szCs w:val="24"/>
              </w:rPr>
            </w:pPr>
            <w:proofErr w:type="gramStart"/>
            <w:r w:rsidRPr="009A78D3">
              <w:rPr>
                <w:rFonts w:asciiTheme="minorEastAsia" w:hAnsiTheme="minorEastAsia" w:cs="微软雅黑" w:hint="eastAsia"/>
                <w:color w:val="000000"/>
                <w:kern w:val="0"/>
                <w:sz w:val="24"/>
                <w:szCs w:val="24"/>
              </w:rPr>
              <w:lastRenderedPageBreak/>
              <w:t>李永虎</w:t>
            </w:r>
            <w:proofErr w:type="gramEnd"/>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8B2" w:rsidRPr="009A78D3" w:rsidRDefault="00851C20" w:rsidP="00722C15">
            <w:pPr>
              <w:widowControl/>
              <w:spacing w:line="276" w:lineRule="auto"/>
              <w:jc w:val="center"/>
              <w:textAlignment w:val="bottom"/>
              <w:rPr>
                <w:rFonts w:asciiTheme="minorEastAsia" w:hAnsiTheme="minorEastAsia" w:cs="微软雅黑"/>
                <w:color w:val="000000"/>
                <w:sz w:val="24"/>
                <w:szCs w:val="24"/>
              </w:rPr>
            </w:pPr>
            <w:r w:rsidRPr="009A78D3">
              <w:rPr>
                <w:rFonts w:asciiTheme="minorEastAsia" w:hAnsiTheme="minorEastAsia" w:cs="微软雅黑" w:hint="eastAsia"/>
                <w:noProof/>
                <w:color w:val="000000"/>
                <w:kern w:val="0"/>
                <w:sz w:val="24"/>
                <w:szCs w:val="24"/>
              </w:rPr>
              <w:drawing>
                <wp:anchor distT="0" distB="0" distL="114300" distR="114300" simplePos="0" relativeHeight="251660288" behindDoc="0" locked="0" layoutInCell="1" allowOverlap="1" wp14:anchorId="76EFB865" wp14:editId="6582047C">
                  <wp:simplePos x="0" y="0"/>
                  <wp:positionH relativeFrom="column">
                    <wp:posOffset>-7620</wp:posOffset>
                  </wp:positionH>
                  <wp:positionV relativeFrom="paragraph">
                    <wp:posOffset>-1523365</wp:posOffset>
                  </wp:positionV>
                  <wp:extent cx="1001395" cy="1333500"/>
                  <wp:effectExtent l="0" t="0" r="8255" b="0"/>
                  <wp:wrapSquare wrapText="bothSides"/>
                  <wp:docPr id="9"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58"/>
                          <pic:cNvPicPr>
                            <a:picLocks noChangeAspect="1"/>
                          </pic:cNvPicPr>
                        </pic:nvPicPr>
                        <pic:blipFill>
                          <a:blip r:embed="rId12" r:link="rId10" cstate="print"/>
                          <a:stretch>
                            <a:fillRect/>
                          </a:stretch>
                        </pic:blipFill>
                        <pic:spPr>
                          <a:xfrm>
                            <a:off x="0" y="0"/>
                            <a:ext cx="1001395" cy="1333500"/>
                          </a:xfrm>
                          <a:prstGeom prst="rect">
                            <a:avLst/>
                          </a:prstGeom>
                          <a:noFill/>
                          <a:ln w="9525">
                            <a:noFill/>
                          </a:ln>
                        </pic:spPr>
                      </pic:pic>
                    </a:graphicData>
                  </a:graphic>
                </wp:anchor>
              </w:drawing>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微软雅黑"/>
                <w:color w:val="000000"/>
                <w:sz w:val="24"/>
                <w:szCs w:val="24"/>
              </w:rPr>
            </w:pPr>
            <w:r w:rsidRPr="009A78D3">
              <w:rPr>
                <w:rFonts w:asciiTheme="minorEastAsia" w:hAnsiTheme="minorEastAsia" w:cs="宋体" w:hint="eastAsia"/>
                <w:color w:val="FF0000"/>
                <w:sz w:val="24"/>
                <w:szCs w:val="24"/>
              </w:rPr>
              <w:t>TRY International IP Law Firm</w:t>
            </w:r>
            <w:r w:rsidRPr="009A78D3">
              <w:rPr>
                <w:rFonts w:asciiTheme="minorEastAsia" w:hAnsiTheme="minorEastAsia" w:cs="宋体" w:hint="eastAsia"/>
                <w:sz w:val="24"/>
                <w:szCs w:val="24"/>
              </w:rPr>
              <w:t>虎威国际专利事务所合伙人</w:t>
            </w:r>
            <w:r w:rsidRPr="009A78D3">
              <w:rPr>
                <w:rFonts w:asciiTheme="minorEastAsia" w:hAnsiTheme="minorEastAsia" w:cs="宋体" w:hint="eastAsia"/>
                <w:color w:val="FF0000"/>
                <w:sz w:val="24"/>
                <w:szCs w:val="24"/>
              </w:rPr>
              <w:t>（会说中文）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微软雅黑"/>
                <w:color w:val="000000"/>
                <w:sz w:val="24"/>
                <w:szCs w:val="24"/>
              </w:rPr>
            </w:pPr>
            <w:r w:rsidRPr="009A78D3">
              <w:rPr>
                <w:rFonts w:asciiTheme="minorEastAsia" w:hAnsiTheme="minorEastAsia" w:cs="微软雅黑" w:hint="eastAsia"/>
                <w:color w:val="000000"/>
                <w:kern w:val="0"/>
                <w:sz w:val="24"/>
                <w:szCs w:val="24"/>
              </w:rPr>
              <w:t>日本</w:t>
            </w:r>
          </w:p>
        </w:tc>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微软雅黑" w:hint="eastAsia"/>
                <w:color w:val="000000"/>
                <w:kern w:val="0"/>
                <w:sz w:val="24"/>
                <w:szCs w:val="24"/>
              </w:rPr>
              <w:t xml:space="preserve"> </w:t>
            </w:r>
            <w:r w:rsidRPr="009A78D3">
              <w:rPr>
                <w:rFonts w:asciiTheme="minorEastAsia" w:hAnsiTheme="minorEastAsia" w:cs="宋体" w:hint="eastAsia"/>
                <w:sz w:val="24"/>
                <w:szCs w:val="24"/>
              </w:rPr>
              <w:t xml:space="preserve">   </w:t>
            </w:r>
            <w:proofErr w:type="gramStart"/>
            <w:r w:rsidRPr="009A78D3">
              <w:rPr>
                <w:rFonts w:asciiTheme="minorEastAsia" w:hAnsiTheme="minorEastAsia" w:cs="宋体" w:hint="eastAsia"/>
                <w:sz w:val="24"/>
                <w:szCs w:val="24"/>
              </w:rPr>
              <w:t>李永虎2003年</w:t>
            </w:r>
            <w:proofErr w:type="gramEnd"/>
            <w:r w:rsidRPr="009A78D3">
              <w:rPr>
                <w:rFonts w:asciiTheme="minorEastAsia" w:hAnsiTheme="minorEastAsia" w:cs="宋体" w:hint="eastAsia"/>
                <w:sz w:val="24"/>
                <w:szCs w:val="24"/>
              </w:rPr>
              <w:t>通过富士</w:t>
            </w:r>
            <w:proofErr w:type="gramStart"/>
            <w:r w:rsidRPr="009A78D3">
              <w:rPr>
                <w:rFonts w:asciiTheme="minorEastAsia" w:hAnsiTheme="minorEastAsia" w:cs="宋体" w:hint="eastAsia"/>
                <w:sz w:val="24"/>
                <w:szCs w:val="24"/>
              </w:rPr>
              <w:t>康专利</w:t>
            </w:r>
            <w:proofErr w:type="gramEnd"/>
            <w:r w:rsidRPr="009A78D3">
              <w:rPr>
                <w:rFonts w:asciiTheme="minorEastAsia" w:hAnsiTheme="minorEastAsia" w:cs="宋体" w:hint="eastAsia"/>
                <w:sz w:val="24"/>
                <w:szCs w:val="24"/>
              </w:rPr>
              <w:t>部进入专利行业，2007年移居日本发展。在日本的工作期间，处理过大量来自中国的日本专利申请业务。</w:t>
            </w:r>
          </w:p>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就职于富士</w:t>
            </w:r>
            <w:proofErr w:type="gramStart"/>
            <w:r w:rsidRPr="009A78D3">
              <w:rPr>
                <w:rFonts w:asciiTheme="minorEastAsia" w:hAnsiTheme="minorEastAsia" w:cs="宋体" w:hint="eastAsia"/>
                <w:sz w:val="24"/>
                <w:szCs w:val="24"/>
              </w:rPr>
              <w:t>康专利</w:t>
            </w:r>
            <w:proofErr w:type="gramEnd"/>
            <w:r w:rsidRPr="009A78D3">
              <w:rPr>
                <w:rFonts w:asciiTheme="minorEastAsia" w:hAnsiTheme="minorEastAsia" w:cs="宋体" w:hint="eastAsia"/>
                <w:sz w:val="24"/>
                <w:szCs w:val="24"/>
              </w:rPr>
              <w:t>部时的经历：中国、台湾用专利说明书的撰写（通信设备领域），专利翻译（中日翻译和中韩翻译），专利调查、产业分析、竞争对手调查分析等；</w:t>
            </w:r>
          </w:p>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就职于中国专利事务所时的经历：电子设备领域的说明书撰写、OA处理、复审与无效专利诉讼；</w:t>
            </w:r>
          </w:p>
          <w:p w:rsidR="007538B2" w:rsidRPr="009A78D3" w:rsidRDefault="00851C20" w:rsidP="00722C15">
            <w:pPr>
              <w:widowControl/>
              <w:spacing w:line="276" w:lineRule="auto"/>
              <w:jc w:val="left"/>
              <w:textAlignment w:val="center"/>
              <w:rPr>
                <w:rFonts w:asciiTheme="minorEastAsia" w:hAnsiTheme="minorEastAsia" w:cs="微软雅黑"/>
                <w:color w:val="000000"/>
                <w:kern w:val="0"/>
                <w:sz w:val="24"/>
                <w:szCs w:val="24"/>
              </w:rPr>
            </w:pPr>
            <w:r w:rsidRPr="009A78D3">
              <w:rPr>
                <w:rFonts w:asciiTheme="minorEastAsia" w:hAnsiTheme="minorEastAsia" w:cs="宋体" w:hint="eastAsia"/>
                <w:sz w:val="24"/>
                <w:szCs w:val="24"/>
              </w:rPr>
              <w:t>  就职于日本专利事务所时的经历：参与日本专利事务所的组建，专注于来自中国大陆和台湾客户的日本专利业务。做到日本3900多家专利事务所中第7名的成绩。处理过大量来自华人企业的日本专利申请、OA、复审、无效案件。</w:t>
            </w:r>
          </w:p>
        </w:tc>
      </w:tr>
      <w:tr w:rsidR="007538B2" w:rsidRPr="009A78D3" w:rsidTr="00984698">
        <w:trPr>
          <w:trHeight w:val="3750"/>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微软雅黑"/>
                <w:color w:val="000000"/>
                <w:sz w:val="24"/>
                <w:szCs w:val="24"/>
              </w:rPr>
            </w:pPr>
            <w:proofErr w:type="spellStart"/>
            <w:r w:rsidRPr="009A78D3">
              <w:rPr>
                <w:rFonts w:asciiTheme="minorEastAsia" w:hAnsiTheme="minorEastAsia" w:cs="Times New Roman" w:hint="eastAsia"/>
                <w:sz w:val="24"/>
                <w:szCs w:val="24"/>
              </w:rPr>
              <w:t>Arundeep</w:t>
            </w:r>
            <w:proofErr w:type="spellEnd"/>
            <w:r w:rsidRPr="009A78D3">
              <w:rPr>
                <w:rFonts w:asciiTheme="minorEastAsia" w:hAnsiTheme="minorEastAsia" w:cs="Times New Roman" w:hint="eastAsia"/>
                <w:sz w:val="24"/>
                <w:szCs w:val="24"/>
              </w:rPr>
              <w:t xml:space="preserve"> Pradhan</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8B2" w:rsidRPr="009A78D3" w:rsidRDefault="00851C20" w:rsidP="00722C15">
            <w:pPr>
              <w:widowControl/>
              <w:spacing w:line="276" w:lineRule="auto"/>
              <w:jc w:val="center"/>
              <w:textAlignment w:val="bottom"/>
              <w:rPr>
                <w:rFonts w:asciiTheme="minorEastAsia" w:hAnsiTheme="minorEastAsia" w:cs="微软雅黑"/>
                <w:color w:val="000000"/>
                <w:sz w:val="24"/>
                <w:szCs w:val="24"/>
              </w:rPr>
            </w:pPr>
            <w:r w:rsidRPr="009A78D3">
              <w:rPr>
                <w:rFonts w:asciiTheme="minorEastAsia" w:hAnsiTheme="minorEastAsia" w:cs="微软雅黑" w:hint="eastAsia"/>
                <w:noProof/>
                <w:color w:val="000000"/>
                <w:kern w:val="0"/>
                <w:sz w:val="24"/>
                <w:szCs w:val="24"/>
              </w:rPr>
              <w:drawing>
                <wp:anchor distT="0" distB="0" distL="114300" distR="114300" simplePos="0" relativeHeight="251664384" behindDoc="0" locked="0" layoutInCell="1" allowOverlap="1" wp14:anchorId="47F2E462" wp14:editId="4C306D8D">
                  <wp:simplePos x="0" y="0"/>
                  <wp:positionH relativeFrom="column">
                    <wp:posOffset>-4445</wp:posOffset>
                  </wp:positionH>
                  <wp:positionV relativeFrom="paragraph">
                    <wp:posOffset>-1574165</wp:posOffset>
                  </wp:positionV>
                  <wp:extent cx="1050290" cy="1267460"/>
                  <wp:effectExtent l="0" t="0" r="16510" b="8890"/>
                  <wp:wrapSquare wrapText="bothSides"/>
                  <wp:docPr id="10"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9"/>
                          <pic:cNvPicPr>
                            <a:picLocks noChangeAspect="1"/>
                          </pic:cNvPicPr>
                        </pic:nvPicPr>
                        <pic:blipFill>
                          <a:blip r:embed="rId13" r:link="rId10" cstate="print"/>
                          <a:stretch>
                            <a:fillRect/>
                          </a:stretch>
                        </pic:blipFill>
                        <pic:spPr>
                          <a:xfrm>
                            <a:off x="0" y="0"/>
                            <a:ext cx="1050290" cy="1267460"/>
                          </a:xfrm>
                          <a:prstGeom prst="rect">
                            <a:avLst/>
                          </a:prstGeom>
                          <a:noFill/>
                          <a:ln w="9525">
                            <a:noFill/>
                          </a:ln>
                        </pic:spPr>
                      </pic:pic>
                    </a:graphicData>
                  </a:graphic>
                </wp:anchor>
              </w:drawing>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创新发明的授权及转移机构APIO董事长</w:t>
            </w:r>
          </w:p>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br/>
              <w:t>美国大学技术转移经理人协会AUTM的前总裁及董事会成员</w:t>
            </w:r>
          </w:p>
          <w:p w:rsidR="007538B2" w:rsidRPr="009A78D3" w:rsidRDefault="00851C20" w:rsidP="00722C15">
            <w:pPr>
              <w:widowControl/>
              <w:spacing w:line="276" w:lineRule="auto"/>
              <w:jc w:val="left"/>
              <w:textAlignment w:val="center"/>
              <w:rPr>
                <w:rFonts w:asciiTheme="minorEastAsia" w:hAnsiTheme="minorEastAsia" w:cs="微软雅黑"/>
                <w:color w:val="000000"/>
                <w:sz w:val="24"/>
                <w:szCs w:val="24"/>
              </w:rPr>
            </w:pPr>
            <w:r w:rsidRPr="009A78D3">
              <w:rPr>
                <w:rFonts w:asciiTheme="minorEastAsia" w:hAnsiTheme="minorEastAsia" w:cs="宋体" w:hint="eastAsia"/>
                <w:sz w:val="24"/>
                <w:szCs w:val="24"/>
              </w:rPr>
              <w:br/>
              <w:t>俄勒冈健康与科学大学负责</w:t>
            </w:r>
            <w:r w:rsidRPr="009A78D3">
              <w:rPr>
                <w:rFonts w:asciiTheme="minorEastAsia" w:hAnsiTheme="minorEastAsia" w:cs="宋体" w:hint="eastAsia"/>
                <w:sz w:val="24"/>
                <w:szCs w:val="24"/>
              </w:rPr>
              <w:lastRenderedPageBreak/>
              <w:t>技术转移及业务发展事务的副校长</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center"/>
              <w:textAlignment w:val="center"/>
              <w:rPr>
                <w:rFonts w:asciiTheme="minorEastAsia" w:hAnsiTheme="minorEastAsia" w:cs="微软雅黑"/>
                <w:color w:val="000000"/>
                <w:sz w:val="24"/>
                <w:szCs w:val="24"/>
              </w:rPr>
            </w:pPr>
            <w:r w:rsidRPr="009A78D3">
              <w:rPr>
                <w:rFonts w:asciiTheme="minorEastAsia" w:hAnsiTheme="minorEastAsia" w:cs="微软雅黑" w:hint="eastAsia"/>
                <w:color w:val="000000"/>
                <w:kern w:val="0"/>
                <w:sz w:val="24"/>
                <w:szCs w:val="24"/>
              </w:rPr>
              <w:lastRenderedPageBreak/>
              <w:t>美国</w:t>
            </w:r>
          </w:p>
        </w:tc>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xml:space="preserve">    Pradhan先生明白什么要素能够将早期的创新进行商业化，并具备由此延伸的在建立和领导团队、知识产权管理、战略合作关系，企业发展和经济发展方面的经验。他已经建立和带领技术转让办公室、业务部门，并担任一个初创公司的临时首席执行官。由于在谈判和管理500多个许可证，合作和战略协议的经验，他很明白如何建立双赢的关系。他还成功地协商和管理了以大学创新为基础的超过75家创业公司的体系建立。</w:t>
            </w:r>
          </w:p>
          <w:p w:rsidR="007538B2" w:rsidRPr="009A78D3" w:rsidRDefault="00851C20" w:rsidP="00722C15">
            <w:pPr>
              <w:widowControl/>
              <w:spacing w:line="276" w:lineRule="auto"/>
              <w:jc w:val="left"/>
              <w:textAlignment w:val="center"/>
              <w:rPr>
                <w:rFonts w:asciiTheme="minorEastAsia" w:hAnsiTheme="minorEastAsia" w:cs="宋体"/>
                <w:sz w:val="24"/>
                <w:szCs w:val="24"/>
              </w:rPr>
            </w:pPr>
            <w:r w:rsidRPr="009A78D3">
              <w:rPr>
                <w:rFonts w:asciiTheme="minorEastAsia" w:hAnsiTheme="minorEastAsia" w:cs="宋体" w:hint="eastAsia"/>
                <w:sz w:val="24"/>
                <w:szCs w:val="24"/>
              </w:rPr>
              <w:t xml:space="preserve">    Pradhan先生从2006到2010就任于美国大学技术转移经理人协会的董事，并在2009</w:t>
            </w:r>
            <w:r w:rsidRPr="009A78D3">
              <w:rPr>
                <w:rFonts w:asciiTheme="minorEastAsia" w:hAnsiTheme="minorEastAsia" w:cs="宋体" w:hint="eastAsia"/>
                <w:sz w:val="24"/>
                <w:szCs w:val="24"/>
              </w:rPr>
              <w:lastRenderedPageBreak/>
              <w:t>的担任AUTM总裁；他还就任于几个初创公司的董事会。他曾在日本、台湾、新加坡、印度、土耳其、法国、比利时、瑞典和美国的会议上担任主题演讲人。作为一位在专业领域发展的教员，他开设了工作室并教授早期创新评估、研究合作、授权、谈判、知识产权基础知识方面的课程。</w:t>
            </w:r>
          </w:p>
        </w:tc>
      </w:tr>
    </w:tbl>
    <w:p w:rsidR="007538B2" w:rsidRPr="009A78D3" w:rsidRDefault="007538B2" w:rsidP="00722C15">
      <w:pPr>
        <w:spacing w:line="276" w:lineRule="auto"/>
        <w:rPr>
          <w:rFonts w:asciiTheme="minorEastAsia" w:hAnsiTheme="minorEastAsia"/>
          <w:sz w:val="24"/>
          <w:szCs w:val="24"/>
        </w:rPr>
      </w:pPr>
    </w:p>
    <w:sectPr w:rsidR="007538B2" w:rsidRPr="009A78D3" w:rsidSect="00517D0C">
      <w:pgSz w:w="11906" w:h="16838"/>
      <w:pgMar w:top="170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9A" w:rsidRDefault="0065339A" w:rsidP="004A3AAE">
      <w:r>
        <w:separator/>
      </w:r>
    </w:p>
  </w:endnote>
  <w:endnote w:type="continuationSeparator" w:id="0">
    <w:p w:rsidR="0065339A" w:rsidRDefault="0065339A" w:rsidP="004A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9A" w:rsidRDefault="0065339A" w:rsidP="004A3AAE">
      <w:r>
        <w:separator/>
      </w:r>
    </w:p>
  </w:footnote>
  <w:footnote w:type="continuationSeparator" w:id="0">
    <w:p w:rsidR="0065339A" w:rsidRDefault="0065339A" w:rsidP="004A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B34B2"/>
    <w:multiLevelType w:val="singleLevel"/>
    <w:tmpl w:val="570B34B2"/>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CD7"/>
    <w:rsid w:val="00024460"/>
    <w:rsid w:val="0003351B"/>
    <w:rsid w:val="0003376A"/>
    <w:rsid w:val="00042698"/>
    <w:rsid w:val="000B4D30"/>
    <w:rsid w:val="0011486A"/>
    <w:rsid w:val="001542C0"/>
    <w:rsid w:val="00172A27"/>
    <w:rsid w:val="00184C86"/>
    <w:rsid w:val="001870C1"/>
    <w:rsid w:val="0018725B"/>
    <w:rsid w:val="001921F0"/>
    <w:rsid w:val="001929B9"/>
    <w:rsid w:val="001973D2"/>
    <w:rsid w:val="001C653B"/>
    <w:rsid w:val="00210671"/>
    <w:rsid w:val="002370E7"/>
    <w:rsid w:val="0025559A"/>
    <w:rsid w:val="00281E8B"/>
    <w:rsid w:val="002F6618"/>
    <w:rsid w:val="003231D1"/>
    <w:rsid w:val="003257CC"/>
    <w:rsid w:val="00340452"/>
    <w:rsid w:val="00341FB5"/>
    <w:rsid w:val="003662E0"/>
    <w:rsid w:val="00373DF3"/>
    <w:rsid w:val="003B0557"/>
    <w:rsid w:val="003B5C26"/>
    <w:rsid w:val="003B6308"/>
    <w:rsid w:val="003F1C4D"/>
    <w:rsid w:val="003F48F1"/>
    <w:rsid w:val="0045022F"/>
    <w:rsid w:val="00477745"/>
    <w:rsid w:val="00484E8A"/>
    <w:rsid w:val="004A3AAE"/>
    <w:rsid w:val="004C31A5"/>
    <w:rsid w:val="004C434E"/>
    <w:rsid w:val="004E2576"/>
    <w:rsid w:val="00517D0C"/>
    <w:rsid w:val="00552E17"/>
    <w:rsid w:val="005752F4"/>
    <w:rsid w:val="005C3F39"/>
    <w:rsid w:val="0065339A"/>
    <w:rsid w:val="006946AE"/>
    <w:rsid w:val="006A4FAF"/>
    <w:rsid w:val="006E661C"/>
    <w:rsid w:val="0071735E"/>
    <w:rsid w:val="00722C15"/>
    <w:rsid w:val="00725439"/>
    <w:rsid w:val="007538B2"/>
    <w:rsid w:val="00772ABD"/>
    <w:rsid w:val="007E53BB"/>
    <w:rsid w:val="00802FE8"/>
    <w:rsid w:val="00851C20"/>
    <w:rsid w:val="008674F1"/>
    <w:rsid w:val="008B200F"/>
    <w:rsid w:val="008C25D6"/>
    <w:rsid w:val="008E64A7"/>
    <w:rsid w:val="008F5C19"/>
    <w:rsid w:val="00956C1C"/>
    <w:rsid w:val="00984698"/>
    <w:rsid w:val="009A78D3"/>
    <w:rsid w:val="009C11E2"/>
    <w:rsid w:val="009C6994"/>
    <w:rsid w:val="009E0F33"/>
    <w:rsid w:val="00A04C75"/>
    <w:rsid w:val="00A351B0"/>
    <w:rsid w:val="00A45446"/>
    <w:rsid w:val="00A62846"/>
    <w:rsid w:val="00AD45C6"/>
    <w:rsid w:val="00AF5A4F"/>
    <w:rsid w:val="00B672C1"/>
    <w:rsid w:val="00B84F27"/>
    <w:rsid w:val="00B85E61"/>
    <w:rsid w:val="00B90ECD"/>
    <w:rsid w:val="00BF02FE"/>
    <w:rsid w:val="00BF4F08"/>
    <w:rsid w:val="00C520CA"/>
    <w:rsid w:val="00C713FD"/>
    <w:rsid w:val="00CA0C43"/>
    <w:rsid w:val="00CB09CB"/>
    <w:rsid w:val="00CB5177"/>
    <w:rsid w:val="00CE7B25"/>
    <w:rsid w:val="00D020A2"/>
    <w:rsid w:val="00D33D84"/>
    <w:rsid w:val="00D528E3"/>
    <w:rsid w:val="00D709AD"/>
    <w:rsid w:val="00DA3711"/>
    <w:rsid w:val="00DD6953"/>
    <w:rsid w:val="00DF6017"/>
    <w:rsid w:val="00F21FC5"/>
    <w:rsid w:val="00F34358"/>
    <w:rsid w:val="00F542A6"/>
    <w:rsid w:val="067A7875"/>
    <w:rsid w:val="1061325A"/>
    <w:rsid w:val="13295522"/>
    <w:rsid w:val="159552ED"/>
    <w:rsid w:val="170759D4"/>
    <w:rsid w:val="1B552DB5"/>
    <w:rsid w:val="1D9438D6"/>
    <w:rsid w:val="21AF79BA"/>
    <w:rsid w:val="239E0A2A"/>
    <w:rsid w:val="29B11A27"/>
    <w:rsid w:val="2B8F2564"/>
    <w:rsid w:val="2C4B7DE2"/>
    <w:rsid w:val="2D2F6700"/>
    <w:rsid w:val="2D38238A"/>
    <w:rsid w:val="30DC7F28"/>
    <w:rsid w:val="3A1B0521"/>
    <w:rsid w:val="3B3651C5"/>
    <w:rsid w:val="470D7317"/>
    <w:rsid w:val="49C201FB"/>
    <w:rsid w:val="50D97DB0"/>
    <w:rsid w:val="55696C98"/>
    <w:rsid w:val="587E7CBE"/>
    <w:rsid w:val="588F66B4"/>
    <w:rsid w:val="59360B6A"/>
    <w:rsid w:val="5B393D5F"/>
    <w:rsid w:val="5C855247"/>
    <w:rsid w:val="5DE72CB4"/>
    <w:rsid w:val="645F7838"/>
    <w:rsid w:val="69890B68"/>
    <w:rsid w:val="6B68373F"/>
    <w:rsid w:val="73F91829"/>
    <w:rsid w:val="750326B2"/>
    <w:rsid w:val="7705196C"/>
    <w:rsid w:val="77A0094D"/>
    <w:rsid w:val="796A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C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84C86"/>
    <w:pPr>
      <w:tabs>
        <w:tab w:val="center" w:pos="4153"/>
        <w:tab w:val="right" w:pos="8306"/>
      </w:tabs>
      <w:snapToGrid w:val="0"/>
      <w:jc w:val="left"/>
    </w:pPr>
    <w:rPr>
      <w:sz w:val="18"/>
      <w:szCs w:val="18"/>
    </w:rPr>
  </w:style>
  <w:style w:type="paragraph" w:styleId="a4">
    <w:name w:val="header"/>
    <w:basedOn w:val="a"/>
    <w:link w:val="Char0"/>
    <w:qFormat/>
    <w:rsid w:val="00184C8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84C86"/>
    <w:pPr>
      <w:widowControl/>
      <w:spacing w:before="100" w:beforeAutospacing="1" w:after="100" w:afterAutospacing="1"/>
      <w:jc w:val="left"/>
    </w:pPr>
    <w:rPr>
      <w:rFonts w:ascii="宋体" w:eastAsia="宋体" w:hAnsi="宋体" w:cs="宋体"/>
      <w:kern w:val="0"/>
      <w:sz w:val="24"/>
      <w:szCs w:val="24"/>
    </w:rPr>
  </w:style>
  <w:style w:type="paragraph" w:customStyle="1" w:styleId="111">
    <w:name w:val="列出段落111"/>
    <w:basedOn w:val="a"/>
    <w:uiPriority w:val="34"/>
    <w:qFormat/>
    <w:rsid w:val="00184C86"/>
    <w:pPr>
      <w:ind w:firstLineChars="200" w:firstLine="420"/>
    </w:pPr>
  </w:style>
  <w:style w:type="character" w:customStyle="1" w:styleId="Char0">
    <w:name w:val="页眉 Char"/>
    <w:basedOn w:val="a0"/>
    <w:link w:val="a4"/>
    <w:qFormat/>
    <w:rsid w:val="00184C86"/>
    <w:rPr>
      <w:kern w:val="2"/>
      <w:sz w:val="18"/>
      <w:szCs w:val="18"/>
    </w:rPr>
  </w:style>
  <w:style w:type="character" w:customStyle="1" w:styleId="Char">
    <w:name w:val="页脚 Char"/>
    <w:basedOn w:val="a0"/>
    <w:link w:val="a3"/>
    <w:qFormat/>
    <w:rsid w:val="00184C86"/>
    <w:rPr>
      <w:kern w:val="2"/>
      <w:sz w:val="18"/>
      <w:szCs w:val="18"/>
    </w:rPr>
  </w:style>
  <w:style w:type="paragraph" w:customStyle="1" w:styleId="Default">
    <w:name w:val="Default"/>
    <w:uiPriority w:val="99"/>
    <w:unhideWhenUsed/>
    <w:qFormat/>
    <w:rsid w:val="00184C86"/>
    <w:pPr>
      <w:widowControl w:val="0"/>
      <w:autoSpaceDE w:val="0"/>
      <w:autoSpaceDN w:val="0"/>
      <w:adjustRightInd w:val="0"/>
    </w:pPr>
    <w:rPr>
      <w:rFonts w:ascii="微软雅黑" w:eastAsia="微软雅黑" w:hAnsi="微软雅黑" w:cstheme="minorBidi" w:hint="eastAsia"/>
      <w:color w:val="000000"/>
      <w:sz w:val="24"/>
    </w:rPr>
  </w:style>
  <w:style w:type="character" w:styleId="a6">
    <w:name w:val="Hyperlink"/>
    <w:basedOn w:val="a0"/>
    <w:rsid w:val="008E64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C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84C86"/>
    <w:pPr>
      <w:tabs>
        <w:tab w:val="center" w:pos="4153"/>
        <w:tab w:val="right" w:pos="8306"/>
      </w:tabs>
      <w:snapToGrid w:val="0"/>
      <w:jc w:val="left"/>
    </w:pPr>
    <w:rPr>
      <w:sz w:val="18"/>
      <w:szCs w:val="18"/>
    </w:rPr>
  </w:style>
  <w:style w:type="paragraph" w:styleId="a4">
    <w:name w:val="header"/>
    <w:basedOn w:val="a"/>
    <w:link w:val="Char0"/>
    <w:qFormat/>
    <w:rsid w:val="00184C8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84C86"/>
    <w:pPr>
      <w:widowControl/>
      <w:spacing w:before="100" w:beforeAutospacing="1" w:after="100" w:afterAutospacing="1"/>
      <w:jc w:val="left"/>
    </w:pPr>
    <w:rPr>
      <w:rFonts w:ascii="宋体" w:eastAsia="宋体" w:hAnsi="宋体" w:cs="宋体"/>
      <w:kern w:val="0"/>
      <w:sz w:val="24"/>
      <w:szCs w:val="24"/>
    </w:rPr>
  </w:style>
  <w:style w:type="paragraph" w:customStyle="1" w:styleId="111">
    <w:name w:val="列出段落111"/>
    <w:basedOn w:val="a"/>
    <w:uiPriority w:val="34"/>
    <w:qFormat/>
    <w:rsid w:val="00184C86"/>
    <w:pPr>
      <w:ind w:firstLineChars="200" w:firstLine="420"/>
    </w:pPr>
  </w:style>
  <w:style w:type="character" w:customStyle="1" w:styleId="Char0">
    <w:name w:val="页眉 Char"/>
    <w:basedOn w:val="a0"/>
    <w:link w:val="a4"/>
    <w:qFormat/>
    <w:rsid w:val="00184C86"/>
    <w:rPr>
      <w:kern w:val="2"/>
      <w:sz w:val="18"/>
      <w:szCs w:val="18"/>
    </w:rPr>
  </w:style>
  <w:style w:type="character" w:customStyle="1" w:styleId="Char">
    <w:name w:val="页脚 Char"/>
    <w:basedOn w:val="a0"/>
    <w:link w:val="a3"/>
    <w:qFormat/>
    <w:rsid w:val="00184C86"/>
    <w:rPr>
      <w:kern w:val="2"/>
      <w:sz w:val="18"/>
      <w:szCs w:val="18"/>
    </w:rPr>
  </w:style>
  <w:style w:type="paragraph" w:customStyle="1" w:styleId="Default">
    <w:name w:val="Default"/>
    <w:uiPriority w:val="99"/>
    <w:unhideWhenUsed/>
    <w:qFormat/>
    <w:rsid w:val="00184C86"/>
    <w:pPr>
      <w:widowControl w:val="0"/>
      <w:autoSpaceDE w:val="0"/>
      <w:autoSpaceDN w:val="0"/>
      <w:adjustRightInd w:val="0"/>
    </w:pPr>
    <w:rPr>
      <w:rFonts w:ascii="微软雅黑" w:eastAsia="微软雅黑" w:hAnsi="微软雅黑" w:cstheme="minorBidi" w:hint="eastAsia"/>
      <w:color w:val="000000"/>
      <w:sz w:val="24"/>
    </w:rPr>
  </w:style>
  <w:style w:type="character" w:styleId="a6">
    <w:name w:val="Hyperlink"/>
    <w:basedOn w:val="a0"/>
    <w:rsid w:val="008E6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NU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1162</Words>
  <Characters>6627</Characters>
  <Application>Microsoft Office Word</Application>
  <DocSecurity>0</DocSecurity>
  <Lines>55</Lines>
  <Paragraphs>15</Paragraphs>
  <ScaleCrop>false</ScaleCrop>
  <Company>Microsoft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lenovohome</cp:lastModifiedBy>
  <cp:revision>4</cp:revision>
  <dcterms:created xsi:type="dcterms:W3CDTF">2016-06-22T00:55:00Z</dcterms:created>
  <dcterms:modified xsi:type="dcterms:W3CDTF">2016-06-22T00:56:00Z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